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adjustRightInd w:val="0"/>
        <w:snapToGrid w:val="0"/>
        <w:spacing w:line="600" w:lineRule="exact"/>
        <w:jc w:val="center"/>
        <w:rPr>
          <w:rFonts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color w:val="333333"/>
          <w:sz w:val="44"/>
          <w:szCs w:val="44"/>
        </w:rPr>
        <w:t>聊城市机关事务管理局</w:t>
      </w:r>
    </w:p>
    <w:p>
      <w:pPr>
        <w:widowControl/>
        <w:shd w:val="clear" w:color="auto" w:fill="FFFFFF"/>
        <w:adjustRightInd w:val="0"/>
        <w:snapToGrid w:val="0"/>
        <w:spacing w:line="600" w:lineRule="exact"/>
        <w:jc w:val="center"/>
        <w:rPr>
          <w:rFonts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color w:val="333333"/>
          <w:sz w:val="44"/>
          <w:szCs w:val="44"/>
        </w:rPr>
        <w:t>2021年政府信息公开工作年度报告</w:t>
      </w:r>
    </w:p>
    <w:p>
      <w:pPr>
        <w:pStyle w:val="2"/>
        <w:adjustRightInd w:val="0"/>
        <w:snapToGrid w:val="0"/>
        <w:spacing w:line="600" w:lineRule="exact"/>
        <w:ind w:firstLine="492" w:firstLineChars="200"/>
        <w:jc w:val="both"/>
        <w:rPr>
          <w:color w:val="1A181F"/>
          <w:spacing w:val="-29"/>
          <w:w w:val="95"/>
          <w:lang w:eastAsia="zh-CN"/>
        </w:rPr>
      </w:pPr>
    </w:p>
    <w:p>
      <w:pPr>
        <w:widowControl/>
        <w:spacing w:line="600" w:lineRule="exact"/>
        <w:ind w:firstLine="640" w:firstLineChars="200"/>
        <w:rPr>
          <w:rFonts w:ascii="华文仿宋" w:hAnsi="华文仿宋" w:eastAsia="华文仿宋" w:cs="华文仿宋"/>
          <w:kern w:val="0"/>
          <w:sz w:val="32"/>
          <w:szCs w:val="32"/>
          <w:lang w:bidi="ar"/>
        </w:rPr>
      </w:pPr>
      <w:r>
        <w:rPr>
          <w:rFonts w:hint="eastAsia" w:ascii="华文仿宋" w:hAnsi="华文仿宋" w:eastAsia="华文仿宋" w:cs="华文仿宋"/>
          <w:kern w:val="0"/>
          <w:sz w:val="32"/>
          <w:szCs w:val="32"/>
          <w:lang w:bidi="ar"/>
        </w:rPr>
        <w:t>本报告根据《中华人民共和国政府信息公开条例》</w:t>
      </w:r>
      <w:r>
        <w:rPr>
          <w:rFonts w:hint="eastAsia" w:ascii="仿宋" w:hAnsi="仿宋" w:eastAsia="仿宋"/>
          <w:sz w:val="32"/>
          <w:szCs w:val="32"/>
        </w:rPr>
        <w:t>、国务院办公厅政府信息与政务公开办公室关于印发《中华人民共和国政府信息公开工作年度报告格式》的通知（国办公开办函〔2021〕30号）规定</w:t>
      </w:r>
      <w:r>
        <w:rPr>
          <w:rFonts w:hint="eastAsia" w:ascii="华文仿宋" w:hAnsi="华文仿宋" w:eastAsia="华文仿宋" w:cs="华文仿宋"/>
          <w:kern w:val="0"/>
          <w:sz w:val="32"/>
          <w:szCs w:val="32"/>
          <w:lang w:bidi="ar"/>
        </w:rPr>
        <w:t>，由聊城市机关事务管理局编制。报告由总体情况、主动公开政府信息情况、收到和处理政府信息公开申请情况、政府信息公开行政复议、行政诉讼情况、存在的主要问题及改进情况、其他需要报告的事项六部分组成。报告所列数据统计期限自 2021年1月1日起至 12月31日止。</w:t>
      </w:r>
    </w:p>
    <w:p>
      <w:pPr>
        <w:widowControl/>
        <w:spacing w:line="600" w:lineRule="exact"/>
        <w:ind w:firstLine="640" w:firstLineChars="200"/>
        <w:rPr>
          <w:rFonts w:ascii="华文仿宋" w:hAnsi="华文仿宋" w:eastAsia="华文仿宋" w:cs="华文仿宋"/>
          <w:sz w:val="32"/>
          <w:szCs w:val="32"/>
        </w:rPr>
      </w:pPr>
      <w:r>
        <w:rPr>
          <w:rFonts w:hint="eastAsia" w:ascii="华文仿宋" w:hAnsi="华文仿宋" w:eastAsia="华文仿宋" w:cs="华文仿宋"/>
          <w:kern w:val="0"/>
          <w:sz w:val="32"/>
          <w:szCs w:val="32"/>
          <w:lang w:bidi="ar"/>
        </w:rPr>
        <w:t>本年度报告电子版可从聊城市</w:t>
      </w:r>
      <w:r>
        <w:rPr>
          <w:rFonts w:hint="eastAsia" w:ascii="华文仿宋" w:hAnsi="华文仿宋" w:eastAsia="华文仿宋" w:cs="华文仿宋"/>
          <w:kern w:val="0"/>
          <w:sz w:val="32"/>
          <w:szCs w:val="32"/>
          <w:shd w:val="clear" w:color="auto" w:fill="FFFFFF"/>
          <w:lang w:bidi="ar"/>
        </w:rPr>
        <w:t>机关事务管理局</w:t>
      </w:r>
      <w:r>
        <w:rPr>
          <w:rFonts w:hint="eastAsia" w:ascii="华文仿宋" w:hAnsi="华文仿宋" w:eastAsia="华文仿宋" w:cs="华文仿宋"/>
          <w:kern w:val="0"/>
          <w:sz w:val="32"/>
          <w:szCs w:val="32"/>
          <w:lang w:bidi="ar"/>
        </w:rPr>
        <w:t>网站（http://jgsw.liaocheng.gov.cn/）下载。如对本年度报告有疑问，请与聊城市</w:t>
      </w:r>
      <w:r>
        <w:rPr>
          <w:rFonts w:hint="eastAsia" w:ascii="华文仿宋" w:hAnsi="华文仿宋" w:eastAsia="华文仿宋" w:cs="华文仿宋"/>
          <w:kern w:val="0"/>
          <w:sz w:val="32"/>
          <w:szCs w:val="32"/>
          <w:shd w:val="clear" w:color="auto" w:fill="FFFFFF"/>
          <w:lang w:bidi="ar"/>
        </w:rPr>
        <w:t>机关事务管理局办公室</w:t>
      </w:r>
      <w:r>
        <w:rPr>
          <w:rFonts w:hint="eastAsia" w:ascii="华文仿宋" w:hAnsi="华文仿宋" w:eastAsia="华文仿宋" w:cs="华文仿宋"/>
          <w:kern w:val="0"/>
          <w:sz w:val="32"/>
          <w:szCs w:val="32"/>
          <w:lang w:bidi="ar"/>
        </w:rPr>
        <w:t>联系</w:t>
      </w:r>
      <w:r>
        <w:rPr>
          <w:rFonts w:hint="eastAsia" w:ascii="华文仿宋" w:hAnsi="华文仿宋" w:eastAsia="华文仿宋" w:cs="华文仿宋"/>
          <w:kern w:val="0"/>
          <w:sz w:val="32"/>
          <w:szCs w:val="32"/>
          <w:shd w:val="clear" w:color="auto" w:fill="FFFFFF"/>
          <w:lang w:bidi="ar"/>
        </w:rPr>
        <w:t>（地址：聊城市东昌西路24号；邮编：252000；电话：0635-6068810；电子邮箱：lcsjgswgljbgs@lc.shandong.cn）</w:t>
      </w:r>
    </w:p>
    <w:p>
      <w:pPr>
        <w:pStyle w:val="2"/>
        <w:adjustRightInd w:val="0"/>
        <w:snapToGrid w:val="0"/>
        <w:spacing w:line="600" w:lineRule="exact"/>
        <w:ind w:firstLine="640" w:firstLineChars="200"/>
        <w:jc w:val="both"/>
        <w:rPr>
          <w:rFonts w:ascii="黑体" w:hAnsi="黑体" w:eastAsia="黑体"/>
          <w:lang w:eastAsia="zh-CN"/>
        </w:rPr>
      </w:pPr>
      <w:r>
        <w:rPr>
          <w:rFonts w:hint="eastAsia" w:ascii="黑体" w:hAnsi="黑体" w:eastAsia="黑体" w:cs="黑体"/>
          <w:shd w:val="clear" w:color="auto" w:fill="FFFFFF"/>
          <w:lang w:eastAsia="zh-CN"/>
        </w:rPr>
        <w:t>一、</w:t>
      </w:r>
      <w:r>
        <w:rPr>
          <w:rFonts w:ascii="黑体" w:hAnsi="黑体" w:eastAsia="黑体"/>
          <w:lang w:eastAsia="zh-CN"/>
        </w:rPr>
        <w:t>总体情况</w:t>
      </w:r>
    </w:p>
    <w:p>
      <w:pPr>
        <w:pStyle w:val="2"/>
        <w:adjustRightInd w:val="0"/>
        <w:snapToGrid w:val="0"/>
        <w:spacing w:line="600" w:lineRule="exact"/>
        <w:ind w:firstLine="492" w:firstLineChars="200"/>
        <w:jc w:val="both"/>
        <w:rPr>
          <w:rFonts w:ascii="仿宋_GB2312" w:eastAsia="仿宋_GB2312"/>
          <w:lang w:eastAsia="zh-CN"/>
        </w:rPr>
      </w:pPr>
      <w:r>
        <w:rPr>
          <w:rFonts w:hint="eastAsia" w:ascii="仿宋_GB2312" w:eastAsia="仿宋_GB2312"/>
          <w:spacing w:val="-29"/>
          <w:w w:val="95"/>
          <w:lang w:eastAsia="zh-CN"/>
        </w:rPr>
        <w:t>2021年，</w:t>
      </w:r>
      <w:r>
        <w:rPr>
          <w:rFonts w:hint="eastAsia" w:ascii="仿宋_GB2312" w:hAnsi="华文中宋" w:eastAsia="仿宋_GB2312"/>
          <w:lang w:eastAsia="zh-CN"/>
        </w:rPr>
        <w:t>市机关事务管理局坚持</w:t>
      </w:r>
      <w:r>
        <w:rPr>
          <w:rFonts w:hint="eastAsia" w:ascii="仿宋_GB2312" w:eastAsia="仿宋_GB2312"/>
          <w:w w:val="95"/>
          <w:lang w:eastAsia="zh-CN"/>
        </w:rPr>
        <w:t>以习近平新时代中国特色社会主义思想为指导，全面贯彻党的十九大及十九届历次全会精神，落实落细市委、市政府</w:t>
      </w:r>
      <w:r>
        <w:rPr>
          <w:rFonts w:hint="eastAsia" w:ascii="仿宋_GB2312" w:hAnsi="仿宋" w:eastAsia="仿宋_GB2312"/>
          <w:lang w:eastAsia="zh-CN"/>
        </w:rPr>
        <w:t>关于政务公开工作的部署要求，多措并举、多点发力，注重发挥以公开促落实、促规范、促服务作用，政府信息公开工作取得显著成效，</w:t>
      </w:r>
      <w:r>
        <w:rPr>
          <w:rFonts w:hint="eastAsia" w:ascii="仿宋_GB2312" w:eastAsia="仿宋_GB2312"/>
          <w:lang w:eastAsia="zh-CN"/>
        </w:rPr>
        <w:t>全力助推全市机关事务管理工作高质量发展。</w:t>
      </w:r>
    </w:p>
    <w:p>
      <w:pPr>
        <w:pStyle w:val="2"/>
        <w:adjustRightInd w:val="0"/>
        <w:snapToGrid w:val="0"/>
        <w:spacing w:line="600" w:lineRule="exact"/>
        <w:ind w:firstLine="640" w:firstLineChars="200"/>
        <w:jc w:val="both"/>
        <w:rPr>
          <w:rFonts w:ascii="CESI楷体-GB2312" w:hAnsi="CESI楷体-GB2312" w:eastAsia="CESI楷体-GB2312" w:cs="CESI楷体-GB2312"/>
          <w:shd w:val="clear" w:color="auto" w:fill="FFFFFF"/>
          <w:lang w:eastAsia="zh-CN"/>
        </w:rPr>
      </w:pPr>
      <w:r>
        <w:rPr>
          <w:rFonts w:hint="eastAsia" w:ascii="CESI楷体-GB2312" w:hAnsi="CESI楷体-GB2312" w:eastAsia="CESI楷体-GB2312" w:cs="CESI楷体-GB2312"/>
          <w:lang w:eastAsia="zh-CN"/>
        </w:rPr>
        <w:t>（</w:t>
      </w:r>
      <w:r>
        <w:rPr>
          <w:rFonts w:hint="eastAsia" w:ascii="CESI楷体-GB2312" w:hAnsi="CESI楷体-GB2312" w:eastAsia="CESI楷体-GB2312" w:cs="CESI楷体-GB2312"/>
          <w:shd w:val="clear" w:color="auto" w:fill="FFFFFF"/>
          <w:lang w:eastAsia="zh-CN"/>
        </w:rPr>
        <w:t>一）主动公开情况</w:t>
      </w:r>
    </w:p>
    <w:p>
      <w:pPr>
        <w:widowControl/>
        <w:spacing w:line="60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一是完善信息公开制度建设。市机关事务局高度重视政务公开制度建设，研究制定《聊城市机关事务管理局2021年度政务公开实施方案》，建立健全政务信息公开工作制度、主动公开基本目录和政府信息公开指南，完善工作机制，确保政务公开工作依法、及时、准确、有序开展。</w:t>
      </w:r>
    </w:p>
    <w:p>
      <w:pPr>
        <w:widowControl/>
        <w:ind w:firstLine="640" w:firstLineChars="200"/>
        <w:jc w:val="left"/>
        <w:rPr>
          <w:rFonts w:ascii="CESI仿宋-GB2312" w:hAnsi="CESI仿宋-GB2312" w:eastAsia="CESI仿宋-GB2312" w:cs="CESI仿宋-GB2312"/>
          <w:sz w:val="32"/>
          <w:szCs w:val="32"/>
          <w:shd w:val="clear" w:color="auto" w:fill="FFFFFF"/>
        </w:rPr>
      </w:pPr>
    </w:p>
    <w:p>
      <w:pPr>
        <w:widowControl/>
        <w:jc w:val="left"/>
        <w:rPr>
          <w:rFonts w:ascii="CESI仿宋-GB2312" w:hAnsi="CESI仿宋-GB2312" w:eastAsia="CESI仿宋-GB2312" w:cs="CESI仿宋-GB2312"/>
          <w:sz w:val="32"/>
          <w:szCs w:val="32"/>
          <w:shd w:val="clear" w:color="auto" w:fill="FFFFFF"/>
        </w:rPr>
      </w:pPr>
      <w:r>
        <w:rPr>
          <w:rFonts w:ascii="CESI仿宋-GB2312" w:hAnsi="CESI仿宋-GB2312" w:eastAsia="CESI仿宋-GB2312" w:cs="CESI仿宋-GB2312"/>
          <w:sz w:val="32"/>
          <w:szCs w:val="32"/>
          <w:lang w:val="en"/>
        </w:rPr>
        <w:drawing>
          <wp:inline distT="0" distB="0" distL="114300" distR="114300">
            <wp:extent cx="5264150" cy="3540125"/>
            <wp:effectExtent l="0" t="0" r="12700" b="3175"/>
            <wp:docPr id="7" name="图片 7" descr="9218677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921867702"/>
                    <pic:cNvPicPr>
                      <a:picLocks noChangeAspect="true"/>
                    </pic:cNvPicPr>
                  </pic:nvPicPr>
                  <pic:blipFill>
                    <a:blip r:embed="rId5"/>
                    <a:stretch>
                      <a:fillRect/>
                    </a:stretch>
                  </pic:blipFill>
                  <pic:spPr>
                    <a:xfrm>
                      <a:off x="0" y="0"/>
                      <a:ext cx="5264150" cy="3540125"/>
                    </a:xfrm>
                    <a:prstGeom prst="rect">
                      <a:avLst/>
                    </a:prstGeom>
                  </pic:spPr>
                </pic:pic>
              </a:graphicData>
            </a:graphic>
          </wp:inline>
        </w:drawing>
      </w:r>
    </w:p>
    <w:p>
      <w:pPr>
        <w:widowControl/>
        <w:jc w:val="left"/>
        <w:rPr>
          <w:rFonts w:ascii="CESI仿宋-GB2312" w:hAnsi="CESI仿宋-GB2312" w:eastAsia="CESI仿宋-GB2312" w:cs="CESI仿宋-GB2312"/>
          <w:sz w:val="32"/>
          <w:szCs w:val="32"/>
          <w:shd w:val="clear" w:color="auto" w:fill="FFFFFF"/>
        </w:rPr>
      </w:pPr>
    </w:p>
    <w:p>
      <w:pPr>
        <w:widowControl/>
        <w:ind w:firstLine="640" w:firstLineChars="200"/>
        <w:jc w:val="left"/>
        <w:rPr>
          <w:rFonts w:hint="eastAsia"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二是持续做好信息主动公开。坚持“公开为常态、不公开为例外”原则，以市政府网站、局门户网站、微信公众号为主要平台，全面发布我局各类信息。全年通过市政府政务公开平台主动公开发布信息95条，其中主动公开部门文件</w:t>
      </w:r>
      <w:r>
        <w:rPr>
          <w:rFonts w:ascii="华文仿宋" w:hAnsi="华文仿宋" w:eastAsia="华文仿宋" w:cs="华文仿宋"/>
          <w:kern w:val="0"/>
          <w:sz w:val="32"/>
          <w:szCs w:val="32"/>
          <w:shd w:val="clear" w:color="auto" w:fill="FFFFFF"/>
          <w:lang w:bidi="ar"/>
        </w:rPr>
        <w:t>4</w:t>
      </w:r>
      <w:r>
        <w:rPr>
          <w:rFonts w:hint="eastAsia" w:ascii="华文仿宋" w:hAnsi="华文仿宋" w:eastAsia="华文仿宋" w:cs="华文仿宋"/>
          <w:kern w:val="0"/>
          <w:sz w:val="32"/>
          <w:szCs w:val="32"/>
          <w:shd w:val="clear" w:color="auto" w:fill="FFFFFF"/>
          <w:lang w:bidi="ar"/>
        </w:rPr>
        <w:t>件；通过门户网站主动公开发布各类信息844条；通过微信</w:t>
      </w:r>
    </w:p>
    <w:p>
      <w:pPr>
        <w:widowControl/>
        <w:ind w:firstLine="640" w:firstLineChars="200"/>
        <w:jc w:val="left"/>
        <w:rPr>
          <w:rFonts w:hint="eastAsia" w:ascii="华文仿宋" w:hAnsi="华文仿宋" w:eastAsia="华文仿宋" w:cs="华文仿宋"/>
          <w:kern w:val="0"/>
          <w:sz w:val="32"/>
          <w:szCs w:val="32"/>
          <w:shd w:val="clear" w:color="auto" w:fill="FFFFFF"/>
          <w:lang w:bidi="ar"/>
        </w:rPr>
      </w:pPr>
    </w:p>
    <w:p>
      <w:pPr>
        <w:widowControl/>
        <w:jc w:val="left"/>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公众号发布信息518条。</w:t>
      </w:r>
    </w:p>
    <w:p>
      <w:pPr>
        <w:pStyle w:val="2"/>
        <w:rPr>
          <w:rFonts w:hint="eastAsia"/>
          <w:lang w:eastAsia="zh-CN"/>
        </w:rPr>
      </w:pPr>
      <w:r>
        <w:drawing>
          <wp:inline distT="0" distB="0" distL="0" distR="0">
            <wp:extent cx="5274310" cy="3116580"/>
            <wp:effectExtent l="0" t="0" r="0" b="0"/>
            <wp:docPr id="3" name="图片 3" descr="图表, 饼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表, 饼图&#10;&#10;描述已自动生成"/>
                    <pic:cNvPicPr>
                      <a:picLocks noChangeAspect="true"/>
                    </pic:cNvPicPr>
                  </pic:nvPicPr>
                  <pic:blipFill>
                    <a:blip r:embed="rId6"/>
                    <a:stretch>
                      <a:fillRect/>
                    </a:stretch>
                  </pic:blipFill>
                  <pic:spPr>
                    <a:xfrm>
                      <a:off x="0" y="0"/>
                      <a:ext cx="5274310" cy="3116580"/>
                    </a:xfrm>
                    <a:prstGeom prst="rect">
                      <a:avLst/>
                    </a:prstGeom>
                  </pic:spPr>
                </pic:pic>
              </a:graphicData>
            </a:graphic>
          </wp:inline>
        </w:drawing>
      </w:r>
    </w:p>
    <w:p>
      <w:pPr>
        <w:widowControl/>
        <w:jc w:val="left"/>
        <w:rPr>
          <w:rFonts w:hint="eastAsia" w:ascii="CESI仿宋-GB2312" w:hAnsi="CESI仿宋-GB2312" w:eastAsia="CESI仿宋-GB2312" w:cs="CESI仿宋-GB2312"/>
          <w:sz w:val="32"/>
          <w:szCs w:val="32"/>
          <w:shd w:val="clear" w:color="auto" w:fill="FFFFFF"/>
        </w:rPr>
      </w:pPr>
    </w:p>
    <w:p>
      <w:pPr>
        <w:widowControl/>
        <w:ind w:firstLine="640" w:firstLineChars="200"/>
        <w:jc w:val="left"/>
        <w:rPr>
          <w:rFonts w:ascii="CESI仿宋-GB2312" w:hAnsi="CESI仿宋-GB2312" w:eastAsia="CESI仿宋-GB2312" w:cs="CESI仿宋-GB2312"/>
          <w:sz w:val="32"/>
          <w:szCs w:val="32"/>
          <w:lang w:val="en"/>
        </w:rPr>
      </w:pPr>
      <w:r>
        <w:rPr>
          <w:rFonts w:hint="eastAsia" w:ascii="华文仿宋" w:hAnsi="华文仿宋" w:eastAsia="华文仿宋" w:cs="华文仿宋"/>
          <w:sz w:val="32"/>
          <w:szCs w:val="32"/>
          <w:shd w:val="clear" w:color="auto" w:fill="FFFFFF"/>
        </w:rPr>
        <w:t>三是创新方式拓宽政策解读</w:t>
      </w:r>
      <w:r>
        <w:rPr>
          <w:rFonts w:hint="eastAsia" w:ascii="华文仿宋" w:hAnsi="华文仿宋" w:eastAsia="华文仿宋" w:cs="华文仿宋"/>
          <w:sz w:val="32"/>
          <w:szCs w:val="32"/>
        </w:rPr>
        <w:t>途径。通过在局网站设立政策解读专栏、制作常见问题解答手册和送政策上门等方式，对</w:t>
      </w:r>
      <w:r>
        <w:rPr>
          <w:rFonts w:hint="eastAsia" w:ascii="华文仿宋" w:hAnsi="华文仿宋" w:eastAsia="华文仿宋" w:cs="华文仿宋"/>
          <w:sz w:val="32"/>
          <w:szCs w:val="32"/>
          <w:shd w:val="clear" w:color="auto" w:fill="FFFFFF"/>
        </w:rPr>
        <w:t>办公用房</w:t>
      </w:r>
      <w:r>
        <w:rPr>
          <w:rFonts w:hint="eastAsia" w:ascii="华文仿宋" w:hAnsi="华文仿宋" w:eastAsia="华文仿宋" w:cs="华文仿宋"/>
          <w:sz w:val="32"/>
          <w:szCs w:val="32"/>
        </w:rPr>
        <w:t>等业务事项进行准确解读；积极参与政风行风、市民热线等活动，倾听群众诉求；召开新闻发布会，介绍聊城市国内公务接待高质量发展工作情况；</w:t>
      </w:r>
      <w:r>
        <w:rPr>
          <w:rFonts w:hint="eastAsia" w:ascii="华文仿宋" w:hAnsi="华文仿宋" w:eastAsia="华文仿宋" w:cs="华文仿宋"/>
          <w:kern w:val="0"/>
          <w:sz w:val="32"/>
          <w:szCs w:val="32"/>
          <w:shd w:val="clear" w:color="auto" w:fill="FFFFFF"/>
          <w:lang w:bidi="ar"/>
        </w:rPr>
        <w:t>借助传统主流媒体社会影响力，在聊城交通广播播放塑料污染宣传、生活垃圾分类宣传内容和聊城市公共机构节约能源资源“十四五”规划，增进公众对机关事务工作工作的了解、支持和认同。</w:t>
      </w:r>
    </w:p>
    <w:p>
      <w:pPr>
        <w:widowControl/>
        <w:jc w:val="center"/>
        <w:rPr>
          <w:rFonts w:ascii="CESI仿宋-GB2312" w:hAnsi="CESI仿宋-GB2312" w:eastAsia="CESI仿宋-GB2312" w:cs="CESI仿宋-GB2312"/>
          <w:sz w:val="32"/>
          <w:szCs w:val="32"/>
          <w:lang w:val="en"/>
        </w:rPr>
      </w:pPr>
      <w:r>
        <w:rPr>
          <w:rFonts w:ascii="CESI仿宋-GB2312" w:hAnsi="CESI仿宋-GB2312" w:eastAsia="CESI仿宋-GB2312" w:cs="CESI仿宋-GB2312"/>
          <w:sz w:val="32"/>
          <w:szCs w:val="32"/>
          <w:lang w:val="en"/>
        </w:rPr>
        <w:drawing>
          <wp:inline distT="0" distB="0" distL="114300" distR="114300">
            <wp:extent cx="4537075" cy="3743960"/>
            <wp:effectExtent l="0" t="0" r="0" b="0"/>
            <wp:docPr id="12" name="图片 12" descr="19057683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905768328"/>
                    <pic:cNvPicPr>
                      <a:picLocks noChangeAspect="true"/>
                    </pic:cNvPicPr>
                  </pic:nvPicPr>
                  <pic:blipFill>
                    <a:blip r:embed="rId7"/>
                    <a:srcRect l="7501" b="5716"/>
                    <a:stretch>
                      <a:fillRect/>
                    </a:stretch>
                  </pic:blipFill>
                  <pic:spPr>
                    <a:xfrm>
                      <a:off x="0" y="0"/>
                      <a:ext cx="4542613" cy="3748352"/>
                    </a:xfrm>
                    <a:prstGeom prst="rect">
                      <a:avLst/>
                    </a:prstGeom>
                    <a:ln>
                      <a:noFill/>
                    </a:ln>
                  </pic:spPr>
                </pic:pic>
              </a:graphicData>
            </a:graphic>
          </wp:inline>
        </w:drawing>
      </w:r>
    </w:p>
    <w:p>
      <w:pPr>
        <w:widowControl/>
        <w:jc w:val="center"/>
        <w:rPr>
          <w:rFonts w:ascii="CESI仿宋-GB2312" w:hAnsi="CESI仿宋-GB2312" w:eastAsia="CESI仿宋-GB2312" w:cs="CESI仿宋-GB2312"/>
          <w:sz w:val="32"/>
          <w:szCs w:val="32"/>
          <w:lang w:val="en"/>
        </w:rPr>
      </w:pPr>
    </w:p>
    <w:p>
      <w:pPr>
        <w:widowControl/>
        <w:jc w:val="center"/>
        <w:rPr>
          <w:rFonts w:ascii="CESI仿宋-GB2312" w:hAnsi="CESI仿宋-GB2312" w:eastAsia="CESI仿宋-GB2312" w:cs="CESI仿宋-GB2312"/>
          <w:sz w:val="32"/>
          <w:szCs w:val="32"/>
          <w:lang w:val="en"/>
        </w:rPr>
      </w:pPr>
      <w:r>
        <w:drawing>
          <wp:inline distT="0" distB="0" distL="114300" distR="114300">
            <wp:extent cx="5245735" cy="3843020"/>
            <wp:effectExtent l="0" t="0" r="12065" b="508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8"/>
                    <a:stretch>
                      <a:fillRect/>
                    </a:stretch>
                  </pic:blipFill>
                  <pic:spPr>
                    <a:xfrm>
                      <a:off x="0" y="0"/>
                      <a:ext cx="5245735" cy="3843020"/>
                    </a:xfrm>
                    <a:prstGeom prst="rect">
                      <a:avLst/>
                    </a:prstGeom>
                    <a:noFill/>
                    <a:ln>
                      <a:noFill/>
                    </a:ln>
                  </pic:spPr>
                </pic:pic>
              </a:graphicData>
            </a:graphic>
          </wp:inline>
        </w:drawing>
      </w:r>
    </w:p>
    <w:p>
      <w:pPr>
        <w:pStyle w:val="2"/>
        <w:jc w:val="center"/>
        <w:rPr>
          <w:rFonts w:hint="eastAsia"/>
          <w:lang w:val="en" w:eastAsia="zh-CN"/>
        </w:rPr>
      </w:pPr>
    </w:p>
    <w:p>
      <w:pPr>
        <w:widowControl/>
        <w:jc w:val="left"/>
      </w:pPr>
      <w:r>
        <w:rPr>
          <w:rFonts w:ascii="宋体" w:hAnsi="宋体" w:eastAsia="宋体" w:cs="宋体"/>
          <w:kern w:val="0"/>
          <w:sz w:val="24"/>
          <w:lang w:bidi="ar"/>
        </w:rPr>
        <w:drawing>
          <wp:inline distT="0" distB="0" distL="114300" distR="114300">
            <wp:extent cx="5715000" cy="2294890"/>
            <wp:effectExtent l="0" t="0" r="0" b="1016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9"/>
                    <a:stretch>
                      <a:fillRect/>
                    </a:stretch>
                  </pic:blipFill>
                  <pic:spPr>
                    <a:xfrm>
                      <a:off x="0" y="0"/>
                      <a:ext cx="5715000" cy="2294890"/>
                    </a:xfrm>
                    <a:prstGeom prst="rect">
                      <a:avLst/>
                    </a:prstGeom>
                    <a:noFill/>
                    <a:ln w="9525">
                      <a:noFill/>
                    </a:ln>
                  </pic:spPr>
                </pic:pic>
              </a:graphicData>
            </a:graphic>
          </wp:inline>
        </w:drawing>
      </w:r>
    </w:p>
    <w:p>
      <w:pPr>
        <w:pStyle w:val="2"/>
        <w:adjustRightInd w:val="0"/>
        <w:snapToGrid w:val="0"/>
        <w:spacing w:line="540" w:lineRule="exact"/>
        <w:jc w:val="both"/>
        <w:rPr>
          <w:rFonts w:hint="eastAsia" w:ascii="仿宋_GB2312" w:eastAsia="仿宋_GB2312"/>
          <w:lang w:eastAsia="zh-CN"/>
        </w:rPr>
      </w:pP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（二）依申请公开情况</w:t>
      </w:r>
    </w:p>
    <w:p>
      <w:pPr>
        <w:pStyle w:val="3"/>
        <w:shd w:val="clear" w:color="auto" w:fill="FFFFFF"/>
        <w:adjustRightInd w:val="0"/>
        <w:snapToGrid w:val="0"/>
        <w:spacing w:before="0" w:beforeAutospacing="0" w:after="0" w:afterAutospacing="0" w:line="560" w:lineRule="exact"/>
        <w:ind w:firstLine="640" w:firstLineChars="200"/>
        <w:rPr>
          <w:rFonts w:ascii="华文仿宋" w:hAnsi="华文仿宋" w:eastAsia="华文仿宋" w:cs="华文仿宋"/>
          <w:b w:val="0"/>
          <w:sz w:val="32"/>
          <w:szCs w:val="32"/>
          <w:shd w:val="clear" w:color="auto" w:fill="FFFFFF"/>
        </w:rPr>
      </w:pPr>
      <w:r>
        <w:rPr>
          <w:rFonts w:hint="eastAsia" w:ascii="华文仿宋" w:hAnsi="华文仿宋" w:eastAsia="华文仿宋" w:cs="华文仿宋"/>
          <w:b w:val="0"/>
          <w:sz w:val="32"/>
          <w:szCs w:val="32"/>
          <w:shd w:val="clear" w:color="auto" w:fill="FFFFFF"/>
        </w:rPr>
        <w:t>2021年，</w:t>
      </w:r>
      <w:r>
        <w:rPr>
          <w:rFonts w:hint="eastAsia" w:ascii="华文仿宋" w:hAnsi="华文仿宋" w:eastAsia="华文仿宋" w:cs="华文仿宋"/>
          <w:b w:val="0"/>
          <w:sz w:val="32"/>
          <w:szCs w:val="32"/>
        </w:rPr>
        <w:t>我局共收到1件政府信息公开申请</w:t>
      </w:r>
      <w:r>
        <w:rPr>
          <w:rFonts w:hint="default" w:ascii="华文仿宋" w:hAnsi="华文仿宋" w:eastAsia="华文仿宋" w:cs="华文仿宋"/>
          <w:b w:val="0"/>
          <w:sz w:val="32"/>
          <w:szCs w:val="32"/>
          <w:lang w:val="en"/>
        </w:rPr>
        <w:t>,</w:t>
      </w:r>
      <w:r>
        <w:rPr>
          <w:rFonts w:hint="eastAsia" w:ascii="华文仿宋" w:hAnsi="华文仿宋" w:eastAsia="华文仿宋" w:cs="华文仿宋"/>
          <w:b w:val="0"/>
          <w:sz w:val="32"/>
          <w:szCs w:val="32"/>
          <w:lang w:val="en" w:eastAsia="zh-CN"/>
        </w:rPr>
        <w:t>内容是</w:t>
      </w:r>
      <w:r>
        <w:rPr>
          <w:rFonts w:hint="default" w:ascii="华文仿宋" w:hAnsi="华文仿宋" w:eastAsia="华文仿宋" w:cs="华文仿宋"/>
          <w:b w:val="0"/>
          <w:sz w:val="32"/>
          <w:szCs w:val="32"/>
          <w:lang w:val="en"/>
        </w:rPr>
        <w:t>申请</w:t>
      </w:r>
      <w:r>
        <w:rPr>
          <w:rFonts w:hint="eastAsia" w:ascii="华文仿宋" w:hAnsi="华文仿宋" w:eastAsia="华文仿宋" w:cs="华文仿宋"/>
          <w:b w:val="0"/>
          <w:sz w:val="32"/>
          <w:szCs w:val="32"/>
          <w:lang w:val="en" w:eastAsia="zh-CN"/>
        </w:rPr>
        <w:t>公开</w:t>
      </w:r>
      <w:bookmarkStart w:id="0" w:name="_GoBack"/>
      <w:bookmarkEnd w:id="0"/>
      <w:r>
        <w:rPr>
          <w:rFonts w:hint="eastAsia" w:ascii="华文仿宋" w:hAnsi="华文仿宋" w:eastAsia="华文仿宋" w:cs="华文仿宋"/>
          <w:b w:val="0"/>
          <w:sz w:val="32"/>
          <w:szCs w:val="32"/>
          <w:lang w:val="en" w:eastAsia="zh-CN"/>
        </w:rPr>
        <w:t>我局</w:t>
      </w:r>
      <w:r>
        <w:rPr>
          <w:rFonts w:hint="default" w:ascii="华文仿宋" w:hAnsi="华文仿宋" w:eastAsia="华文仿宋" w:cs="华文仿宋"/>
          <w:b w:val="0"/>
          <w:sz w:val="32"/>
          <w:szCs w:val="32"/>
          <w:lang w:val="en"/>
        </w:rPr>
        <w:t>优化营商环境的实施方案</w:t>
      </w:r>
      <w:r>
        <w:rPr>
          <w:rFonts w:hint="eastAsia" w:ascii="华文仿宋" w:hAnsi="华文仿宋" w:eastAsia="华文仿宋" w:cs="华文仿宋"/>
          <w:b w:val="0"/>
          <w:sz w:val="32"/>
          <w:szCs w:val="32"/>
          <w:lang w:val="en" w:eastAsia="zh-CN"/>
        </w:rPr>
        <w:t>。</w:t>
      </w:r>
      <w:r>
        <w:rPr>
          <w:rFonts w:hint="eastAsia" w:ascii="华文仿宋" w:hAnsi="华文仿宋" w:eastAsia="华文仿宋" w:cs="华文仿宋"/>
          <w:b w:val="0"/>
          <w:sz w:val="32"/>
          <w:szCs w:val="32"/>
        </w:rPr>
        <w:t>接申请后，市机关事务局高度重视，</w:t>
      </w:r>
      <w:r>
        <w:rPr>
          <w:rFonts w:hint="eastAsia" w:ascii="华文仿宋" w:hAnsi="华文仿宋" w:eastAsia="华文仿宋" w:cs="华文仿宋"/>
          <w:b w:val="0"/>
          <w:sz w:val="32"/>
          <w:szCs w:val="32"/>
          <w:shd w:val="clear" w:color="auto" w:fill="FFFFFF"/>
        </w:rPr>
        <w:t>严格按照依申请公开办理程序，在规定时间内，按照申请人要求的形式及时、准确进行了全要素答复。</w:t>
      </w: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（三）政府信息公开管理情况</w:t>
      </w:r>
    </w:p>
    <w:p>
      <w:pPr>
        <w:pStyle w:val="3"/>
        <w:shd w:val="clear" w:color="auto" w:fill="FFFFFF"/>
        <w:adjustRightInd w:val="0"/>
        <w:snapToGrid w:val="0"/>
        <w:spacing w:before="0" w:beforeAutospacing="0" w:after="0" w:afterAutospacing="0" w:line="560" w:lineRule="exact"/>
        <w:ind w:firstLine="640" w:firstLineChars="200"/>
        <w:rPr>
          <w:rFonts w:ascii="华文仿宋" w:hAnsi="华文仿宋" w:eastAsia="华文仿宋" w:cs="华文仿宋"/>
          <w:b w:val="0"/>
          <w:bCs w:val="0"/>
          <w:sz w:val="32"/>
          <w:szCs w:val="32"/>
          <w:shd w:val="clear" w:color="auto" w:fill="FFFFFF"/>
          <w:lang w:bidi="ar"/>
        </w:rPr>
      </w:pPr>
      <w:r>
        <w:rPr>
          <w:rFonts w:hint="eastAsia" w:ascii="华文仿宋" w:hAnsi="华文仿宋" w:eastAsia="华文仿宋" w:cs="华文仿宋"/>
          <w:b w:val="0"/>
          <w:bCs w:val="0"/>
          <w:sz w:val="32"/>
          <w:szCs w:val="32"/>
          <w:lang w:bidi="ar"/>
        </w:rPr>
        <w:t>对政府信息进行全生命周期的规范管理，加强文件公开属性源头管理，全面落实政策性文件与解读材料同步起草、同步审签工作要求。按照“谁发布，谁审查”原则，</w:t>
      </w:r>
      <w:r>
        <w:rPr>
          <w:rFonts w:hint="eastAsia" w:ascii="华文仿宋" w:hAnsi="华文仿宋" w:eastAsia="华文仿宋" w:cs="华文仿宋"/>
          <w:b w:val="0"/>
          <w:bCs w:val="0"/>
          <w:w w:val="95"/>
          <w:sz w:val="32"/>
          <w:szCs w:val="32"/>
        </w:rPr>
        <w:t>严格落实保密审查和逐级审核制度，</w:t>
      </w:r>
      <w:r>
        <w:rPr>
          <w:rFonts w:hint="eastAsia" w:ascii="华文仿宋" w:hAnsi="华文仿宋" w:eastAsia="华文仿宋" w:cs="华文仿宋"/>
          <w:b w:val="0"/>
          <w:bCs w:val="0"/>
          <w:sz w:val="32"/>
          <w:szCs w:val="32"/>
          <w:shd w:val="clear" w:color="auto" w:fill="FFFFFF"/>
          <w:lang w:bidi="ar"/>
        </w:rPr>
        <w:t>信息发布审核机制，</w:t>
      </w:r>
      <w:r>
        <w:rPr>
          <w:rFonts w:hint="eastAsia" w:ascii="华文仿宋" w:hAnsi="华文仿宋" w:eastAsia="华文仿宋" w:cs="华文仿宋"/>
          <w:b w:val="0"/>
          <w:bCs w:val="0"/>
          <w:w w:val="95"/>
          <w:sz w:val="32"/>
          <w:szCs w:val="32"/>
        </w:rPr>
        <w:t>切实把好政治观、政策关、文字关，力争发布的信息规范无误。</w:t>
      </w:r>
      <w:r>
        <w:rPr>
          <w:rFonts w:hint="eastAsia" w:ascii="华文仿宋" w:hAnsi="华文仿宋" w:eastAsia="华文仿宋" w:cs="华文仿宋"/>
          <w:b w:val="0"/>
          <w:bCs w:val="0"/>
          <w:sz w:val="32"/>
          <w:szCs w:val="32"/>
          <w:lang w:bidi="ar"/>
        </w:rPr>
        <w:t>扎实推进规范性文件修订完善，深入开展规范性文件清理，</w:t>
      </w:r>
      <w:r>
        <w:rPr>
          <w:rFonts w:hint="eastAsia" w:ascii="华文仿宋" w:hAnsi="华文仿宋" w:eastAsia="华文仿宋" w:cs="华文仿宋"/>
          <w:b w:val="0"/>
          <w:bCs w:val="0"/>
          <w:sz w:val="32"/>
          <w:szCs w:val="32"/>
          <w:shd w:val="clear" w:color="auto" w:fill="FFFFFF"/>
          <w:lang w:bidi="ar"/>
        </w:rPr>
        <w:t>2021年无规范性文件需清理。</w:t>
      </w: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（四）政府信息公开平台建设</w:t>
      </w:r>
    </w:p>
    <w:p>
      <w:pPr>
        <w:widowControl/>
        <w:ind w:firstLine="640" w:firstLineChars="200"/>
        <w:jc w:val="left"/>
        <w:rPr>
          <w:rFonts w:ascii="CESI仿宋-GB2312" w:hAnsi="CESI仿宋-GB2312" w:eastAsia="CESI仿宋-GB2312" w:cs="CESI仿宋-GB2312"/>
          <w:bCs/>
          <w:sz w:val="32"/>
          <w:szCs w:val="32"/>
        </w:rPr>
      </w:pPr>
      <w:r>
        <w:rPr>
          <w:rFonts w:hint="eastAsia" w:ascii="华文仿宋" w:hAnsi="华文仿宋" w:eastAsia="华文仿宋" w:cs="华文仿宋"/>
          <w:bCs/>
          <w:sz w:val="32"/>
          <w:szCs w:val="32"/>
        </w:rPr>
        <w:t>一是推进局机关网站建设。加强局机关网站日常管理，优化网站栏目设置，</w:t>
      </w:r>
      <w:r>
        <w:rPr>
          <w:rFonts w:hint="eastAsia" w:ascii="华文仿宋" w:hAnsi="华文仿宋" w:eastAsia="华文仿宋" w:cs="华文仿宋"/>
          <w:bCs/>
          <w:kern w:val="0"/>
          <w:sz w:val="32"/>
          <w:szCs w:val="32"/>
          <w:lang w:bidi="ar"/>
        </w:rPr>
        <w:t>根据公开内容需要细化网站专栏，</w:t>
      </w:r>
      <w:r>
        <w:rPr>
          <w:rFonts w:hint="eastAsia" w:ascii="华文仿宋" w:hAnsi="华文仿宋" w:eastAsia="华文仿宋" w:cs="华文仿宋"/>
          <w:bCs/>
          <w:sz w:val="32"/>
          <w:szCs w:val="32"/>
          <w:shd w:val="clear" w:color="auto" w:fill="FFFFFF"/>
        </w:rPr>
        <w:t>增设党史教育专栏、创建全国文明城市专栏、安全教育专栏、机关事务政策库等专栏。设置政府信息公开专栏，加强专栏维护。二是</w:t>
      </w:r>
      <w:r>
        <w:rPr>
          <w:rFonts w:hint="eastAsia" w:ascii="华文仿宋" w:hAnsi="华文仿宋" w:eastAsia="华文仿宋" w:cs="华文仿宋"/>
          <w:bCs/>
          <w:sz w:val="32"/>
          <w:szCs w:val="32"/>
        </w:rPr>
        <w:t>完善微信公众号功能</w:t>
      </w:r>
      <w:r>
        <w:rPr>
          <w:rFonts w:hint="eastAsia" w:ascii="华文仿宋" w:hAnsi="华文仿宋" w:eastAsia="华文仿宋" w:cs="华文仿宋"/>
          <w:bCs/>
          <w:sz w:val="32"/>
          <w:szCs w:val="32"/>
          <w:shd w:val="clear" w:color="auto" w:fill="FFFFFF"/>
        </w:rPr>
        <w:t>。充分利用政务新媒体优势，按要求转载国办、省办及上级部门信息，及时发布机关事务信息，</w:t>
      </w:r>
      <w:r>
        <w:rPr>
          <w:rFonts w:hint="eastAsia" w:ascii="华文仿宋" w:hAnsi="华文仿宋" w:eastAsia="华文仿宋" w:cs="华文仿宋"/>
          <w:bCs/>
          <w:sz w:val="32"/>
          <w:szCs w:val="32"/>
        </w:rPr>
        <w:t>研发并</w:t>
      </w:r>
      <w:r>
        <w:rPr>
          <w:rFonts w:hint="eastAsia" w:ascii="华文仿宋" w:hAnsi="华文仿宋" w:eastAsia="华文仿宋" w:cs="华文仿宋"/>
          <w:bCs/>
          <w:sz w:val="32"/>
          <w:szCs w:val="32"/>
          <w:shd w:val="clear" w:color="auto" w:fill="FFFFFF"/>
        </w:rPr>
        <w:t>在</w:t>
      </w:r>
      <w:r>
        <w:rPr>
          <w:rFonts w:hint="eastAsia" w:ascii="华文仿宋" w:hAnsi="华文仿宋" w:eastAsia="华文仿宋" w:cs="华文仿宋"/>
          <w:bCs/>
          <w:sz w:val="32"/>
          <w:szCs w:val="32"/>
        </w:rPr>
        <w:t>公众号上线生活垃圾分类小程序“绿建未来”，宣传垃圾分类，提高公众垃圾分类意识。</w:t>
      </w:r>
      <w:r>
        <w:rPr>
          <w:rFonts w:ascii="CESI仿宋-GB2312" w:hAnsi="CESI仿宋-GB2312" w:eastAsia="CESI仿宋-GB2312" w:cs="CESI仿宋-GB2312"/>
          <w:sz w:val="32"/>
          <w:szCs w:val="32"/>
          <w:lang w:val="en"/>
        </w:rPr>
        <w:drawing>
          <wp:inline distT="0" distB="0" distL="114300" distR="114300">
            <wp:extent cx="4876165" cy="2649220"/>
            <wp:effectExtent l="0" t="0" r="635" b="17780"/>
            <wp:docPr id="14" name="图片 14" descr="2022-01-24_10-15-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2022-01-24_10-15-33"/>
                    <pic:cNvPicPr>
                      <a:picLocks noChangeAspect="true"/>
                    </pic:cNvPicPr>
                  </pic:nvPicPr>
                  <pic:blipFill>
                    <a:blip r:embed="rId10"/>
                    <a:stretch>
                      <a:fillRect/>
                    </a:stretch>
                  </pic:blipFill>
                  <pic:spPr>
                    <a:xfrm>
                      <a:off x="0" y="0"/>
                      <a:ext cx="4876165" cy="2649220"/>
                    </a:xfrm>
                    <a:prstGeom prst="rect">
                      <a:avLst/>
                    </a:prstGeom>
                  </pic:spPr>
                </pic:pic>
              </a:graphicData>
            </a:graphic>
          </wp:inline>
        </w:drawing>
      </w:r>
      <w:r>
        <w:rPr>
          <w:rFonts w:hint="eastAsia" w:ascii="CESI仿宋-GB2312" w:hAnsi="CESI仿宋-GB2312" w:eastAsia="CESI仿宋-GB2312" w:cs="CESI仿宋-GB2312"/>
          <w:bCs/>
          <w:sz w:val="32"/>
          <w:szCs w:val="32"/>
        </w:rPr>
        <w:drawing>
          <wp:inline distT="0" distB="0" distL="114300" distR="114300">
            <wp:extent cx="4944745" cy="3499485"/>
            <wp:effectExtent l="0" t="0" r="8255" b="5715"/>
            <wp:docPr id="18" name="图片 18" descr="2022-01-24_11-2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2022-01-24_11-20-23"/>
                    <pic:cNvPicPr>
                      <a:picLocks noChangeAspect="true"/>
                    </pic:cNvPicPr>
                  </pic:nvPicPr>
                  <pic:blipFill>
                    <a:blip r:embed="rId11"/>
                    <a:stretch>
                      <a:fillRect/>
                    </a:stretch>
                  </pic:blipFill>
                  <pic:spPr>
                    <a:xfrm>
                      <a:off x="0" y="0"/>
                      <a:ext cx="4944745" cy="3499485"/>
                    </a:xfrm>
                    <a:prstGeom prst="rect">
                      <a:avLst/>
                    </a:prstGeom>
                  </pic:spPr>
                </pic:pic>
              </a:graphicData>
            </a:graphic>
          </wp:inline>
        </w:drawing>
      </w:r>
      <w:r>
        <w:rPr>
          <w:rFonts w:hint="eastAsia" w:ascii="CESI仿宋-GB2312" w:hAnsi="CESI仿宋-GB2312" w:eastAsia="CESI仿宋-GB2312" w:cs="CESI仿宋-GB2312"/>
          <w:bCs/>
          <w:sz w:val="32"/>
          <w:szCs w:val="32"/>
        </w:rPr>
        <w:drawing>
          <wp:inline distT="0" distB="0" distL="114300" distR="114300">
            <wp:extent cx="4258945" cy="7686675"/>
            <wp:effectExtent l="0" t="0" r="8255" b="9525"/>
            <wp:docPr id="19" name="图片 19" descr="6104949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610494931"/>
                    <pic:cNvPicPr>
                      <a:picLocks noChangeAspect="true"/>
                    </pic:cNvPicPr>
                  </pic:nvPicPr>
                  <pic:blipFill>
                    <a:blip r:embed="rId12"/>
                    <a:stretch>
                      <a:fillRect/>
                    </a:stretch>
                  </pic:blipFill>
                  <pic:spPr>
                    <a:xfrm>
                      <a:off x="0" y="0"/>
                      <a:ext cx="4258945" cy="7686675"/>
                    </a:xfrm>
                    <a:prstGeom prst="rect">
                      <a:avLst/>
                    </a:prstGeom>
                  </pic:spPr>
                </pic:pic>
              </a:graphicData>
            </a:graphic>
          </wp:inline>
        </w:drawing>
      </w: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（五）监督保障</w:t>
      </w:r>
    </w:p>
    <w:p>
      <w:pPr>
        <w:widowControl/>
        <w:ind w:firstLine="640" w:firstLineChars="200"/>
        <w:jc w:val="left"/>
        <w:rPr>
          <w:rFonts w:ascii="华文仿宋" w:hAnsi="华文仿宋" w:eastAsia="华文仿宋" w:cs="华文仿宋"/>
          <w:sz w:val="32"/>
          <w:szCs w:val="32"/>
        </w:rPr>
      </w:pPr>
      <w:r>
        <w:rPr>
          <w:rFonts w:hint="eastAsia" w:ascii="华文仿宋" w:hAnsi="华文仿宋" w:eastAsia="华文仿宋" w:cs="华文仿宋"/>
          <w:sz w:val="32"/>
          <w:szCs w:val="32"/>
        </w:rPr>
        <w:t>一是局领导班子高度重视政府信息公开工作，定期听取政务公开工作情况汇报，</w:t>
      </w:r>
      <w:r>
        <w:rPr>
          <w:rFonts w:hint="eastAsia" w:ascii="华文仿宋" w:hAnsi="华文仿宋" w:eastAsia="华文仿宋" w:cs="华文仿宋"/>
          <w:kern w:val="0"/>
          <w:sz w:val="32"/>
          <w:szCs w:val="32"/>
          <w:lang w:bidi="ar"/>
        </w:rPr>
        <w:t>多次就有关工作协调调度，作出批示要求。</w:t>
      </w:r>
      <w:r>
        <w:rPr>
          <w:rFonts w:hint="eastAsia" w:ascii="华文仿宋" w:hAnsi="华文仿宋" w:eastAsia="华文仿宋" w:cs="华文仿宋"/>
          <w:sz w:val="32"/>
          <w:szCs w:val="32"/>
        </w:rPr>
        <w:t>二是</w:t>
      </w:r>
      <w:r>
        <w:rPr>
          <w:rFonts w:hint="eastAsia" w:ascii="华文仿宋" w:hAnsi="华文仿宋" w:eastAsia="华文仿宋" w:cs="华文仿宋"/>
          <w:kern w:val="0"/>
          <w:sz w:val="32"/>
          <w:szCs w:val="32"/>
          <w:lang w:bidi="ar"/>
        </w:rPr>
        <w:t>根据人事变动情况，及时调整政务公开工作领导小组</w:t>
      </w:r>
      <w:r>
        <w:rPr>
          <w:rFonts w:hint="eastAsia" w:ascii="华文仿宋" w:hAnsi="华文仿宋" w:eastAsia="华文仿宋" w:cs="华文仿宋"/>
          <w:sz w:val="32"/>
          <w:szCs w:val="32"/>
        </w:rPr>
        <w:t>，建立主要领导亲自抓，分管领导具体抓、办公室专人负责、各业务科室共同参与的工作机制。</w:t>
      </w:r>
      <w:r>
        <w:rPr>
          <w:rStyle w:val="9"/>
          <w:rFonts w:hint="eastAsia" w:ascii="华文仿宋" w:hAnsi="华文仿宋" w:eastAsia="华文仿宋" w:cs="华文仿宋"/>
          <w:b w:val="0"/>
          <w:kern w:val="0"/>
          <w:sz w:val="32"/>
          <w:szCs w:val="32"/>
          <w:lang w:bidi="ar"/>
        </w:rPr>
        <w:t>三是制定年度政务公开培训计划，积极组织开展政务公开培训。2021年，我局未发生因信息公开引起的投诉、举报以及因工作不力导致的责任追究情况。</w:t>
      </w:r>
    </w:p>
    <w:p>
      <w:pPr>
        <w:pStyle w:val="6"/>
        <w:widowControl/>
        <w:shd w:val="clear" w:color="auto" w:fill="FFFFFF"/>
        <w:spacing w:beforeAutospacing="0" w:after="240" w:afterAutospacing="0" w:line="540" w:lineRule="exact"/>
        <w:ind w:firstLine="640" w:firstLineChars="200"/>
        <w:jc w:val="both"/>
        <w:rPr>
          <w:rFonts w:ascii="黑体" w:hAnsi="黑体" w:eastAsia="黑体" w:cs="黑体"/>
          <w:sz w:val="32"/>
          <w:szCs w:val="32"/>
        </w:rPr>
      </w:pPr>
      <w:r>
        <w:rPr>
          <w:rFonts w:hint="eastAsia" w:ascii="黑体" w:hAnsi="黑体" w:eastAsia="黑体" w:cs="黑体"/>
          <w:sz w:val="32"/>
          <w:szCs w:val="32"/>
          <w:shd w:val="clear" w:color="auto" w:fill="FFFFFF"/>
        </w:rPr>
        <w:t>二、主动公开政府信息情况</w:t>
      </w:r>
    </w:p>
    <w:tbl>
      <w:tblPr>
        <w:tblStyle w:val="7"/>
        <w:tblW w:w="9060" w:type="dxa"/>
        <w:jc w:val="center"/>
        <w:tblLayout w:type="fixed"/>
        <w:tblCellMar>
          <w:top w:w="0" w:type="dxa"/>
          <w:left w:w="108" w:type="dxa"/>
          <w:bottom w:w="0" w:type="dxa"/>
          <w:right w:w="108" w:type="dxa"/>
        </w:tblCellMar>
      </w:tblPr>
      <w:tblGrid>
        <w:gridCol w:w="3408"/>
        <w:gridCol w:w="2147"/>
        <w:gridCol w:w="1768"/>
        <w:gridCol w:w="1737"/>
      </w:tblGrid>
      <w:tr>
        <w:tblPrEx>
          <w:tblCellMar>
            <w:top w:w="0" w:type="dxa"/>
            <w:left w:w="108" w:type="dxa"/>
            <w:bottom w:w="0" w:type="dxa"/>
            <w:right w:w="108" w:type="dxa"/>
          </w:tblCellMar>
        </w:tblPrEx>
        <w:trPr>
          <w:trHeight w:val="492"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第二十条 第（一）项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信息内容</w:t>
            </w:r>
          </w:p>
        </w:tc>
        <w:tc>
          <w:tcPr>
            <w:tcW w:w="2147" w:type="dxa"/>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本年制发件数</w:t>
            </w:r>
          </w:p>
        </w:tc>
        <w:tc>
          <w:tcPr>
            <w:tcW w:w="1768" w:type="dxa"/>
            <w:tcBorders>
              <w:top w:val="single" w:color="auto" w:sz="4" w:space="0"/>
              <w:left w:val="nil"/>
              <w:bottom w:val="single" w:color="auto" w:sz="4" w:space="0"/>
              <w:right w:val="single" w:color="auto" w:sz="4" w:space="0"/>
            </w:tcBorders>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本年废止件数</w:t>
            </w:r>
          </w:p>
        </w:tc>
        <w:tc>
          <w:tcPr>
            <w:tcW w:w="173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eastAsia="黑体"/>
                <w:color w:val="000000"/>
                <w:spacing w:val="-8"/>
                <w:sz w:val="24"/>
              </w:rPr>
            </w:pPr>
            <w:r>
              <w:rPr>
                <w:rFonts w:hint="eastAsia" w:ascii="黑体" w:hAnsi="宋体" w:eastAsia="黑体" w:cs="宋体"/>
                <w:color w:val="000000"/>
                <w:spacing w:val="-8"/>
                <w:kern w:val="0"/>
                <w:sz w:val="24"/>
              </w:rPr>
              <w:t>现行有效件数</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规章</w:t>
            </w:r>
          </w:p>
        </w:tc>
        <w:tc>
          <w:tcPr>
            <w:tcW w:w="2147" w:type="dxa"/>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ascii="仿宋_GB2312" w:hAnsi="宋体" w:cs="宋体"/>
                <w:color w:val="000000"/>
                <w:kern w:val="0"/>
                <w:sz w:val="24"/>
              </w:rPr>
              <w:t xml:space="preserve"> </w:t>
            </w:r>
            <w:r>
              <w:rPr>
                <w:rFonts w:hint="eastAsia" w:ascii="仿宋_GB2312" w:hAnsi="宋体" w:cs="宋体"/>
                <w:color w:val="000000"/>
                <w:kern w:val="0"/>
                <w:sz w:val="24"/>
              </w:rPr>
              <w:t>0</w:t>
            </w:r>
          </w:p>
        </w:tc>
        <w:tc>
          <w:tcPr>
            <w:tcW w:w="1768" w:type="dxa"/>
            <w:tcBorders>
              <w:top w:val="single" w:color="auto" w:sz="4" w:space="0"/>
              <w:left w:val="nil"/>
              <w:bottom w:val="single" w:color="auto" w:sz="4" w:space="0"/>
              <w:right w:val="single" w:color="auto" w:sz="4" w:space="0"/>
            </w:tcBorders>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c>
          <w:tcPr>
            <w:tcW w:w="173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0</w:t>
            </w:r>
          </w:p>
        </w:tc>
      </w:tr>
      <w:tr>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规范性文件</w:t>
            </w:r>
          </w:p>
        </w:tc>
        <w:tc>
          <w:tcPr>
            <w:tcW w:w="214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ascii="仿宋_GB2312" w:hAnsi="宋体" w:cs="宋体"/>
                <w:color w:val="000000"/>
                <w:kern w:val="0"/>
                <w:sz w:val="24"/>
              </w:rPr>
              <w:t xml:space="preserve"> </w:t>
            </w:r>
            <w:r>
              <w:rPr>
                <w:rFonts w:hint="eastAsia" w:ascii="仿宋_GB2312" w:hAnsi="宋体" w:cs="宋体"/>
                <w:color w:val="000000"/>
                <w:kern w:val="0"/>
                <w:sz w:val="24"/>
              </w:rPr>
              <w:t>0</w:t>
            </w:r>
          </w:p>
        </w:tc>
        <w:tc>
          <w:tcPr>
            <w:tcW w:w="1768" w:type="dxa"/>
            <w:tcBorders>
              <w:top w:val="nil"/>
              <w:left w:val="nil"/>
              <w:bottom w:val="single" w:color="auto" w:sz="4" w:space="0"/>
              <w:right w:val="single" w:color="auto" w:sz="4" w:space="0"/>
            </w:tcBorders>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c>
          <w:tcPr>
            <w:tcW w:w="173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 xml:space="preserve">0       </w:t>
            </w:r>
          </w:p>
        </w:tc>
      </w:tr>
      <w:tr>
        <w:tblPrEx>
          <w:tblCellMar>
            <w:top w:w="0" w:type="dxa"/>
            <w:left w:w="108" w:type="dxa"/>
            <w:bottom w:w="0" w:type="dxa"/>
            <w:right w:w="108" w:type="dxa"/>
          </w:tblCellMar>
        </w:tblPrEx>
        <w:trPr>
          <w:trHeight w:val="519"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第二十条 第（五）项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信息内容</w:t>
            </w:r>
          </w:p>
        </w:tc>
        <w:tc>
          <w:tcPr>
            <w:tcW w:w="5652"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本年处理决定数量</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行政许可</w:t>
            </w:r>
          </w:p>
        </w:tc>
        <w:tc>
          <w:tcPr>
            <w:tcW w:w="5652" w:type="dxa"/>
            <w:gridSpan w:val="3"/>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hint="eastAsia" w:ascii="仿宋_GB2312" w:hAnsi="宋体" w:cs="宋体"/>
                <w:color w:val="000000"/>
                <w:kern w:val="0"/>
                <w:sz w:val="24"/>
              </w:rPr>
              <w:t>0</w:t>
            </w:r>
          </w:p>
        </w:tc>
      </w:tr>
      <w:tr>
        <w:trPr>
          <w:trHeight w:val="492"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第二十条 第（六）项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信息内容</w:t>
            </w:r>
          </w:p>
        </w:tc>
        <w:tc>
          <w:tcPr>
            <w:tcW w:w="5652"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本年处理决定数量</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行政处罚</w:t>
            </w:r>
          </w:p>
        </w:tc>
        <w:tc>
          <w:tcPr>
            <w:tcW w:w="5652"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行政强制</w:t>
            </w:r>
          </w:p>
        </w:tc>
        <w:tc>
          <w:tcPr>
            <w:tcW w:w="5652" w:type="dxa"/>
            <w:gridSpan w:val="3"/>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r>
      <w:tr>
        <w:trPr>
          <w:trHeight w:val="519"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第二十条 第（八）项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信息内容</w:t>
            </w:r>
          </w:p>
        </w:tc>
        <w:tc>
          <w:tcPr>
            <w:tcW w:w="5652" w:type="dxa"/>
            <w:gridSpan w:val="3"/>
            <w:tcBorders>
              <w:top w:val="nil"/>
              <w:left w:val="nil"/>
              <w:bottom w:val="single" w:color="auto" w:sz="4" w:space="0"/>
              <w:right w:val="single" w:color="000000"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olor w:val="000000"/>
                <w:sz w:val="24"/>
              </w:rPr>
              <w:t>本年收费金额（单位：万元）</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行政事业性收费</w:t>
            </w:r>
          </w:p>
        </w:tc>
        <w:tc>
          <w:tcPr>
            <w:tcW w:w="5652" w:type="dxa"/>
            <w:gridSpan w:val="3"/>
            <w:tcBorders>
              <w:top w:val="nil"/>
              <w:left w:val="nil"/>
              <w:bottom w:val="single" w:color="auto" w:sz="4" w:space="0"/>
              <w:right w:val="single" w:color="000000" w:sz="4" w:space="0"/>
            </w:tcBorders>
            <w:noWrap/>
            <w:vAlign w:val="center"/>
          </w:tcPr>
          <w:p>
            <w:pPr>
              <w:widowControl/>
              <w:adjustRightInd w:val="0"/>
              <w:snapToGrid w:val="0"/>
              <w:spacing w:line="30" w:lineRule="atLeast"/>
              <w:rPr>
                <w:rFonts w:ascii="仿宋_GB2312" w:eastAsia="宋体"/>
                <w:color w:val="000000"/>
                <w:sz w:val="24"/>
              </w:rPr>
            </w:pPr>
            <w:r>
              <w:rPr>
                <w:rFonts w:hint="eastAsia" w:ascii="仿宋_GB2312" w:eastAsia="宋体"/>
                <w:color w:val="000000"/>
                <w:sz w:val="24"/>
              </w:rPr>
              <w:t>0</w:t>
            </w:r>
          </w:p>
        </w:tc>
      </w:tr>
    </w:tbl>
    <w:p>
      <w:pPr>
        <w:pStyle w:val="6"/>
        <w:widowControl/>
        <w:shd w:val="clear" w:color="auto" w:fill="FFFFFF"/>
        <w:spacing w:beforeAutospacing="0" w:after="240" w:afterAutospacing="0" w:line="540" w:lineRule="exact"/>
        <w:ind w:firstLine="640" w:firstLineChars="200"/>
        <w:jc w:val="both"/>
        <w:rPr>
          <w:rFonts w:ascii="黑体" w:hAnsi="黑体" w:eastAsia="黑体" w:cs="黑体"/>
          <w:sz w:val="32"/>
          <w:szCs w:val="32"/>
        </w:rPr>
      </w:pPr>
    </w:p>
    <w:p>
      <w:pPr>
        <w:pStyle w:val="6"/>
        <w:widowControl/>
        <w:shd w:val="clear" w:color="auto" w:fill="FFFFFF"/>
        <w:spacing w:beforeAutospacing="0" w:after="240" w:afterAutospacing="0" w:line="560" w:lineRule="exact"/>
        <w:ind w:firstLine="320" w:firstLineChars="100"/>
        <w:jc w:val="both"/>
        <w:rPr>
          <w:rFonts w:ascii="黑体" w:hAnsi="黑体" w:eastAsia="黑体" w:cs="黑体"/>
          <w:sz w:val="32"/>
          <w:szCs w:val="32"/>
        </w:rPr>
      </w:pPr>
      <w:r>
        <w:rPr>
          <w:rFonts w:hint="eastAsia" w:ascii="黑体" w:hAnsi="黑体" w:eastAsia="黑体" w:cs="黑体"/>
          <w:sz w:val="32"/>
          <w:szCs w:val="32"/>
          <w:shd w:val="clear" w:color="auto" w:fill="FFFFFF"/>
        </w:rPr>
        <w:t>三、收到和处理政府信息公开申请情况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3118"/>
        <w:gridCol w:w="567"/>
        <w:gridCol w:w="567"/>
        <w:gridCol w:w="567"/>
        <w:gridCol w:w="567"/>
        <w:gridCol w:w="567"/>
        <w:gridCol w:w="593"/>
        <w:gridCol w:w="58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5061"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（本列数据的勾稽关系为：第一项加第二项之和，</w:t>
            </w:r>
          </w:p>
          <w:p>
            <w:pPr>
              <w:widowControl/>
              <w:jc w:val="center"/>
            </w:pPr>
            <w:r>
              <w:rPr>
                <w:rFonts w:hint="eastAsia" w:ascii="宋体" w:hAnsi="宋体" w:eastAsia="宋体" w:cs="宋体"/>
                <w:kern w:val="0"/>
                <w:sz w:val="20"/>
                <w:szCs w:val="20"/>
              </w:rPr>
              <w:t>等于第三项加第四项之和）</w:t>
            </w:r>
          </w:p>
        </w:tc>
        <w:tc>
          <w:tcPr>
            <w:tcW w:w="4010"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5061"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自然人</w:t>
            </w:r>
          </w:p>
        </w:tc>
        <w:tc>
          <w:tcPr>
            <w:tcW w:w="2861"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法人或其他组织</w:t>
            </w:r>
          </w:p>
        </w:tc>
        <w:tc>
          <w:tcPr>
            <w:tcW w:w="58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5061"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法律服务机构</w:t>
            </w:r>
          </w:p>
        </w:tc>
        <w:tc>
          <w:tcPr>
            <w:tcW w:w="59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pPr>
            <w:r>
              <w:rPr>
                <w:rFonts w:hint="eastAsia" w:ascii="宋体" w:hAnsi="宋体" w:eastAsia="宋体" w:cs="宋体"/>
                <w:kern w:val="0"/>
                <w:sz w:val="20"/>
                <w:szCs w:val="20"/>
              </w:rPr>
              <w:t>其他</w:t>
            </w:r>
          </w:p>
        </w:tc>
        <w:tc>
          <w:tcPr>
            <w:tcW w:w="58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61"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一、本年新收政府信息公开申请数量</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61"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二、上年结转政府信息公开申请数量</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pPr>
            <w:r>
              <w:rPr>
                <w:rFonts w:hint="eastAsia" w:ascii="宋体" w:hAnsi="宋体" w:eastAsia="宋体" w:cs="宋体"/>
                <w:kern w:val="0"/>
                <w:sz w:val="20"/>
                <w:szCs w:val="20"/>
              </w:rPr>
              <w:t>三、本年度办理结果</w:t>
            </w:r>
          </w:p>
        </w:tc>
        <w:tc>
          <w:tcPr>
            <w:tcW w:w="4536"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heme="minorEastAsia" w:hAnsiTheme="minorEastAsia"/>
              </w:rPr>
            </w:pPr>
            <w:r>
              <w:rPr>
                <w:rFonts w:cs="楷体" w:asciiTheme="minorEastAsia" w:hAnsiTheme="minorEastAsia"/>
                <w:kern w:val="0"/>
                <w:sz w:val="20"/>
                <w:szCs w:val="20"/>
              </w:rPr>
              <w:t>（一）予以公开</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536"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heme="minorEastAsia" w:hAnsiTheme="minorEastAsia"/>
              </w:rPr>
            </w:pPr>
            <w:r>
              <w:rPr>
                <w:rFonts w:hint="eastAsia" w:cs="楷体" w:asciiTheme="minorEastAsia" w:hAnsiTheme="minorEastAsia"/>
                <w:kern w:val="0"/>
                <w:sz w:val="20"/>
                <w:szCs w:val="20"/>
              </w:rPr>
              <w:t>（二）部分公开（区分处理的，只计这一情形，不计其他情形）</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（三）不予公开</w:t>
            </w: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1.属于国家秘密</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2.其他法律行政法规禁止公开</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3.危及“三安全一稳定”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4.保护第三方合法权益</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5.属于三类内部事务信息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6.属于四类过程性信息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7.属于行政执法案卷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8.属于行政查询事项</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（四）无法提供</w:t>
            </w: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1.本机关不掌握相关政府信息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2.没有现成信息需要另行制作</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3.补正后申请内容仍不明确</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（五）不予处理</w:t>
            </w: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1.信访举报投诉类申请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2.重复申请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heme="minorEastAsia" w:hAnsiTheme="minorEastAsia"/>
              </w:rPr>
            </w:pPr>
            <w:r>
              <w:rPr>
                <w:rFonts w:hint="eastAsia" w:cs="楷体" w:asciiTheme="minorEastAsia" w:hAnsiTheme="minorEastAsia"/>
                <w:kern w:val="0"/>
                <w:sz w:val="20"/>
                <w:szCs w:val="20"/>
              </w:rPr>
              <w:t>3.要求提供公开出版物</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heme="minorEastAsia" w:hAnsiTheme="minorEastAsia"/>
              </w:rPr>
            </w:pPr>
            <w:r>
              <w:rPr>
                <w:rFonts w:hint="eastAsia" w:cs="楷体" w:asciiTheme="minorEastAsia" w:hAnsiTheme="minorEastAsia"/>
                <w:kern w:val="0"/>
                <w:sz w:val="20"/>
                <w:szCs w:val="20"/>
              </w:rPr>
              <w:t>4.无正当理由大量反复申请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rPr>
                <w:rFonts w:asciiTheme="minorEastAsia" w:hAnsiTheme="minorEastAsia"/>
              </w:rPr>
            </w:pPr>
            <w:r>
              <w:rPr>
                <w:rFonts w:hint="eastAsia" w:cs="楷体" w:asciiTheme="minorEastAsia" w:hAnsiTheme="minorEastAsia"/>
                <w:kern w:val="0"/>
                <w:sz w:val="20"/>
                <w:szCs w:val="20"/>
              </w:rPr>
              <w:t>5.要求行政机关确认或重新出具已获取信息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6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（六）其他处理</w:t>
            </w:r>
          </w:p>
        </w:tc>
        <w:tc>
          <w:tcPr>
            <w:tcW w:w="3118" w:type="dxa"/>
            <w:tcBorders>
              <w:top w:val="nil"/>
              <w:left w:val="nil"/>
              <w:right w:val="single" w:color="auto" w:sz="8" w:space="0"/>
            </w:tcBorders>
            <w:shd w:val="clear" w:color="auto" w:fill="auto"/>
            <w:vAlign w:val="center"/>
          </w:tcPr>
          <w:p>
            <w:pPr>
              <w:widowControl/>
              <w:spacing w:line="300" w:lineRule="exact"/>
              <w:ind w:left="101" w:leftChars="48"/>
              <w:rPr>
                <w:rFonts w:asciiTheme="minorEastAsia" w:hAnsiTheme="minorEastAsia"/>
              </w:rPr>
            </w:pPr>
            <w:r>
              <w:rPr>
                <w:rFonts w:hint="eastAsia" w:cs="楷体" w:asciiTheme="minorEastAsia" w:hAnsiTheme="minorEastAsia"/>
                <w:kern w:val="0"/>
                <w:sz w:val="20"/>
                <w:szCs w:val="20"/>
              </w:rPr>
              <w:t>1.申请人无正当理由逾期不补正、行政机关不再处理其政府信息公开申请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0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left w:val="nil"/>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p>
        </w:tc>
        <w:tc>
          <w:tcPr>
            <w:tcW w:w="3118" w:type="dxa"/>
            <w:tcBorders>
              <w:left w:val="nil"/>
              <w:right w:val="single" w:color="auto" w:sz="8" w:space="0"/>
            </w:tcBorders>
            <w:shd w:val="clear" w:color="auto" w:fill="auto"/>
            <w:vAlign w:val="center"/>
          </w:tcPr>
          <w:p>
            <w:pPr>
              <w:widowControl/>
              <w:spacing w:line="300" w:lineRule="exact"/>
              <w:ind w:left="101" w:leftChars="48"/>
              <w:rPr>
                <w:rFonts w:cs="楷体" w:asciiTheme="minorEastAsia" w:hAnsiTheme="minorEastAsia"/>
                <w:kern w:val="0"/>
                <w:sz w:val="20"/>
                <w:szCs w:val="20"/>
              </w:rPr>
            </w:pPr>
            <w:r>
              <w:rPr>
                <w:rFonts w:hint="eastAsia" w:cs="楷体" w:asciiTheme="minorEastAsia" w:hAnsiTheme="minorEastAsia"/>
                <w:kern w:val="0"/>
                <w:sz w:val="20"/>
                <w:szCs w:val="20"/>
              </w:rPr>
              <w:t>2.申请人逾期未按收费通知要求缴纳费用、行政机关不再处理其政府信息公开申请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p>
        </w:tc>
        <w:tc>
          <w:tcPr>
            <w:tcW w:w="3118" w:type="dxa"/>
            <w:tcBorders>
              <w:left w:val="nil"/>
              <w:bottom w:val="single" w:color="auto" w:sz="8" w:space="0"/>
              <w:right w:val="single" w:color="auto" w:sz="8" w:space="0"/>
            </w:tcBorders>
            <w:shd w:val="clear" w:color="auto" w:fill="auto"/>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3.其他</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536"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heme="minorEastAsia" w:hAnsiTheme="minorEastAsia"/>
              </w:rPr>
            </w:pPr>
            <w:r>
              <w:rPr>
                <w:rFonts w:hint="eastAsia" w:cs="楷体" w:asciiTheme="minorEastAsia" w:hAnsiTheme="minorEastAsia"/>
                <w:kern w:val="0"/>
                <w:sz w:val="20"/>
                <w:szCs w:val="20"/>
              </w:rPr>
              <w:t>（七）总计</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61"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四、结转下年度继续办理</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bl>
    <w:p>
      <w:pPr>
        <w:pStyle w:val="6"/>
        <w:widowControl/>
        <w:shd w:val="clear" w:color="auto" w:fill="FFFFFF"/>
        <w:spacing w:beforeAutospacing="0" w:after="240" w:afterAutospacing="0" w:line="560" w:lineRule="exact"/>
        <w:ind w:firstLine="320" w:firstLineChars="100"/>
        <w:jc w:val="both"/>
        <w:rPr>
          <w:rFonts w:ascii="黑体" w:hAnsi="黑体" w:eastAsia="黑体" w:cs="黑体"/>
          <w:sz w:val="32"/>
          <w:szCs w:val="32"/>
        </w:rPr>
      </w:pPr>
    </w:p>
    <w:p>
      <w:pPr>
        <w:pStyle w:val="6"/>
        <w:widowControl/>
        <w:shd w:val="clear" w:color="auto" w:fill="FFFFFF"/>
        <w:spacing w:beforeAutospacing="0" w:afterAutospacing="0" w:line="560" w:lineRule="exact"/>
        <w:ind w:firstLine="420"/>
        <w:jc w:val="both"/>
        <w:rPr>
          <w:rFonts w:ascii="黑体" w:hAnsi="黑体" w:eastAsia="黑体" w:cs="宋体"/>
          <w:sz w:val="32"/>
          <w:szCs w:val="32"/>
          <w:shd w:val="clear" w:color="auto" w:fill="FFFFFF"/>
        </w:rPr>
      </w:pPr>
      <w:r>
        <w:rPr>
          <w:rFonts w:hint="eastAsia" w:ascii="黑体" w:hAnsi="黑体" w:eastAsia="黑体" w:cs="宋体"/>
          <w:sz w:val="32"/>
          <w:szCs w:val="32"/>
          <w:shd w:val="clear" w:color="auto" w:fill="FFFFFF"/>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2"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49" w:leftChars="-71" w:right="-170" w:rightChars="-81"/>
              <w:jc w:val="center"/>
              <w:rPr>
                <w:rFonts w:ascii="宋体" w:hAnsi="宋体" w:eastAsia="宋体" w:cs="宋体"/>
                <w:kern w:val="0"/>
                <w:sz w:val="20"/>
                <w:szCs w:val="20"/>
              </w:rPr>
            </w:pPr>
            <w:r>
              <w:rPr>
                <w:rFonts w:hint="eastAsia" w:ascii="宋体" w:hAnsi="宋体" w:eastAsia="宋体" w:cs="宋体"/>
                <w:kern w:val="0"/>
                <w:sz w:val="20"/>
                <w:szCs w:val="20"/>
              </w:rPr>
              <w:t>结果</w:t>
            </w:r>
          </w:p>
          <w:p>
            <w:pPr>
              <w:widowControl/>
              <w:spacing w:line="560" w:lineRule="exact"/>
              <w:ind w:left="-149" w:leftChars="-71" w:right="-170" w:rightChars="-81"/>
              <w:jc w:val="center"/>
            </w:pPr>
            <w:r>
              <w:rPr>
                <w:rFonts w:hint="eastAsia" w:ascii="宋体" w:hAnsi="宋体" w:eastAsia="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43" w:leftChars="-21" w:right="-132" w:rightChars="-63" w:hanging="1"/>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82" w:leftChars="-39" w:right="-97" w:rightChars="-46"/>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18" w:leftChars="-56" w:right="-118" w:rightChars="-56"/>
              <w:jc w:val="center"/>
              <w:rPr>
                <w:rFonts w:ascii="宋体" w:hAnsi="宋体" w:eastAsia="宋体" w:cs="宋体"/>
                <w:kern w:val="0"/>
                <w:sz w:val="20"/>
                <w:szCs w:val="20"/>
              </w:rPr>
            </w:pPr>
            <w:r>
              <w:rPr>
                <w:rFonts w:hint="eastAsia" w:ascii="宋体" w:hAnsi="宋体" w:eastAsia="宋体" w:cs="宋体"/>
                <w:kern w:val="0"/>
                <w:sz w:val="20"/>
                <w:szCs w:val="20"/>
              </w:rPr>
              <w:t>尚未</w:t>
            </w:r>
          </w:p>
          <w:p>
            <w:pPr>
              <w:widowControl/>
              <w:spacing w:line="560" w:lineRule="exact"/>
              <w:ind w:left="-118" w:leftChars="-56" w:right="-118" w:rightChars="-56"/>
              <w:jc w:val="center"/>
            </w:pPr>
            <w:r>
              <w:rPr>
                <w:rFonts w:hint="eastAsia" w:ascii="宋体" w:hAnsi="宋体"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ascii="宋体" w:hAnsi="宋体" w:eastAsia="宋体" w:cs="宋体"/>
                <w:kern w:val="0"/>
                <w:sz w:val="20"/>
                <w:szCs w:val="20"/>
              </w:rPr>
            </w:pPr>
            <w:r>
              <w:rPr>
                <w:rFonts w:hint="eastAsia" w:ascii="宋体" w:hAnsi="宋体" w:eastAsia="宋体" w:cs="宋体"/>
                <w:kern w:val="0"/>
                <w:sz w:val="20"/>
                <w:szCs w:val="20"/>
              </w:rPr>
              <w:t>总</w:t>
            </w:r>
          </w:p>
          <w:p>
            <w:pPr>
              <w:widowControl/>
              <w:spacing w:line="560" w:lineRule="exact"/>
              <w:jc w:val="center"/>
            </w:pPr>
            <w:r>
              <w:rPr>
                <w:rFonts w:hint="eastAsia" w:ascii="宋体" w:hAnsi="宋体"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5" w:leftChars="-50" w:right="-126" w:rightChars="-60"/>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86" w:leftChars="-41" w:right="-88" w:rightChars="-42"/>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26" w:leftChars="-60" w:right="-136" w:rightChars="-65"/>
              <w:jc w:val="center"/>
              <w:rPr>
                <w:rFonts w:ascii="宋体" w:hAnsi="宋体" w:eastAsia="宋体" w:cs="宋体"/>
                <w:kern w:val="0"/>
                <w:sz w:val="20"/>
                <w:szCs w:val="20"/>
              </w:rPr>
            </w:pPr>
            <w:r>
              <w:rPr>
                <w:rFonts w:hint="eastAsia" w:ascii="宋体" w:hAnsi="宋体" w:eastAsia="宋体" w:cs="宋体"/>
                <w:kern w:val="0"/>
                <w:sz w:val="20"/>
                <w:szCs w:val="20"/>
              </w:rPr>
              <w:t>其他</w:t>
            </w:r>
          </w:p>
          <w:p>
            <w:pPr>
              <w:widowControl/>
              <w:spacing w:line="560" w:lineRule="exact"/>
              <w:ind w:left="-126" w:leftChars="-60" w:right="-136" w:rightChars="-65"/>
              <w:jc w:val="center"/>
            </w:pPr>
            <w:r>
              <w:rPr>
                <w:rFonts w:hint="eastAsia" w:ascii="宋体" w:hAnsi="宋体"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64" w:leftChars="-78" w:right="-153" w:rightChars="-73"/>
              <w:jc w:val="center"/>
              <w:rPr>
                <w:rFonts w:ascii="宋体" w:hAnsi="宋体" w:eastAsia="宋体" w:cs="宋体"/>
                <w:kern w:val="0"/>
                <w:sz w:val="20"/>
                <w:szCs w:val="20"/>
              </w:rPr>
            </w:pPr>
            <w:r>
              <w:rPr>
                <w:rFonts w:hint="eastAsia" w:ascii="宋体" w:hAnsi="宋体" w:eastAsia="宋体" w:cs="宋体"/>
                <w:kern w:val="0"/>
                <w:sz w:val="20"/>
                <w:szCs w:val="20"/>
              </w:rPr>
              <w:t>尚未</w:t>
            </w:r>
          </w:p>
          <w:p>
            <w:pPr>
              <w:widowControl/>
              <w:spacing w:line="560" w:lineRule="exact"/>
              <w:ind w:left="-164" w:leftChars="-78" w:right="-153" w:rightChars="-73"/>
              <w:jc w:val="center"/>
            </w:pPr>
            <w:r>
              <w:rPr>
                <w:rFonts w:hint="eastAsia" w:ascii="宋体" w:hAnsi="宋体"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99" w:leftChars="-47" w:right="-78" w:rightChars="-37"/>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36" w:leftChars="-65" w:right="-124" w:rightChars="-59"/>
              <w:jc w:val="center"/>
              <w:rPr>
                <w:rFonts w:ascii="宋体" w:hAnsi="宋体" w:eastAsia="宋体" w:cs="宋体"/>
                <w:kern w:val="0"/>
                <w:sz w:val="20"/>
                <w:szCs w:val="20"/>
              </w:rPr>
            </w:pPr>
            <w:r>
              <w:rPr>
                <w:rFonts w:hint="eastAsia" w:ascii="宋体" w:hAnsi="宋体" w:eastAsia="宋体" w:cs="宋体"/>
                <w:kern w:val="0"/>
                <w:sz w:val="20"/>
                <w:szCs w:val="20"/>
              </w:rPr>
              <w:t>结果</w:t>
            </w:r>
          </w:p>
          <w:p>
            <w:pPr>
              <w:widowControl/>
              <w:spacing w:line="560" w:lineRule="exact"/>
              <w:ind w:left="-136" w:leftChars="-65" w:right="-124" w:rightChars="-59"/>
              <w:jc w:val="center"/>
            </w:pPr>
            <w:r>
              <w:rPr>
                <w:rFonts w:hint="eastAsia" w:ascii="宋体" w:hAnsi="宋体"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73" w:leftChars="-83" w:right="-134" w:rightChars="-64" w:hanging="1"/>
              <w:jc w:val="center"/>
              <w:rPr>
                <w:rFonts w:ascii="宋体" w:hAnsi="宋体" w:eastAsia="宋体" w:cs="宋体"/>
                <w:kern w:val="0"/>
                <w:sz w:val="20"/>
                <w:szCs w:val="20"/>
              </w:rPr>
            </w:pPr>
            <w:r>
              <w:rPr>
                <w:rFonts w:hint="eastAsia" w:ascii="宋体" w:hAnsi="宋体" w:eastAsia="宋体" w:cs="宋体"/>
                <w:kern w:val="0"/>
                <w:sz w:val="20"/>
                <w:szCs w:val="20"/>
              </w:rPr>
              <w:t>其他</w:t>
            </w:r>
          </w:p>
          <w:p>
            <w:pPr>
              <w:widowControl/>
              <w:spacing w:line="560" w:lineRule="exact"/>
              <w:ind w:left="-173" w:leftChars="-83" w:right="-134" w:rightChars="-64" w:hanging="1"/>
              <w:jc w:val="center"/>
            </w:pPr>
            <w:r>
              <w:rPr>
                <w:rFonts w:hint="eastAsia" w:ascii="宋体" w:hAnsi="宋体" w:eastAsia="宋体" w:cs="宋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67" w:leftChars="-33" w:right="-105" w:rightChars="-50" w:hanging="2" w:hangingChars="1"/>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0 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宋体" w:hAnsi="宋体" w:eastAsia="宋体" w:cs="宋体"/>
                <w:kern w:val="0"/>
                <w:sz w:val="20"/>
                <w:szCs w:val="20"/>
              </w:rPr>
              <w:t>0</w:t>
            </w:r>
            <w:r>
              <w:rPr>
                <w:rFonts w:hint="eastAsia" w:ascii="宋体" w:hAnsi="宋体" w:eastAsia="宋体" w:cs="宋体"/>
                <w:kern w:val="0"/>
                <w:sz w:val="20"/>
                <w:szCs w:val="20"/>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宋体" w:hAnsi="宋体" w:eastAsia="宋体" w:cs="宋体"/>
                <w:kern w:val="0"/>
                <w:sz w:val="20"/>
                <w:szCs w:val="20"/>
              </w:rPr>
              <w:t>0</w:t>
            </w:r>
            <w:r>
              <w:rPr>
                <w:rFonts w:hint="eastAsia" w:ascii="宋体" w:hAnsi="宋体" w:eastAsia="宋体" w:cs="宋体"/>
                <w:kern w:val="0"/>
                <w:sz w:val="20"/>
                <w:szCs w:val="20"/>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宋体" w:hAnsi="宋体" w:eastAsia="宋体" w:cs="宋体"/>
                <w:kern w:val="0"/>
                <w:sz w:val="20"/>
                <w:szCs w:val="20"/>
              </w:rPr>
              <w:t>0</w:t>
            </w:r>
            <w:r>
              <w:rPr>
                <w:rFonts w:hint="eastAsia" w:ascii="宋体" w:hAnsi="宋体" w:eastAsia="宋体" w:cs="宋体"/>
                <w:kern w:val="0"/>
                <w:sz w:val="20"/>
                <w:szCs w:val="20"/>
              </w:rPr>
              <w:t> </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r>
              <w:rPr>
                <w:rFonts w:hint="eastAsia" w:ascii="宋体"/>
                <w:sz w:val="24"/>
              </w:rPr>
              <w:t>0</w:t>
            </w:r>
          </w:p>
        </w:tc>
      </w:tr>
    </w:tbl>
    <w:p>
      <w:pPr>
        <w:pStyle w:val="6"/>
        <w:widowControl/>
        <w:shd w:val="clear" w:color="auto" w:fill="FFFFFF"/>
        <w:spacing w:beforeAutospacing="0" w:afterAutospacing="0" w:line="560" w:lineRule="exact"/>
        <w:ind w:firstLine="640" w:firstLineChars="200"/>
        <w:jc w:val="both"/>
        <w:rPr>
          <w:rFonts w:ascii="黑体" w:hAnsi="黑体" w:eastAsia="黑体" w:cs="宋体"/>
          <w:sz w:val="32"/>
          <w:szCs w:val="32"/>
        </w:rPr>
      </w:pPr>
      <w:r>
        <w:rPr>
          <w:rFonts w:hint="eastAsia" w:ascii="黑体" w:hAnsi="黑体" w:eastAsia="黑体" w:cs="宋体"/>
          <w:sz w:val="32"/>
          <w:szCs w:val="32"/>
          <w:shd w:val="clear" w:color="auto" w:fill="FFFFFF"/>
        </w:rPr>
        <w:t>五、存在的主要问题及改进情况</w:t>
      </w:r>
    </w:p>
    <w:p>
      <w:pPr>
        <w:widowControl/>
        <w:ind w:firstLine="640" w:firstLineChars="200"/>
        <w:jc w:val="left"/>
      </w:pPr>
      <w:r>
        <w:rPr>
          <w:rFonts w:hint="eastAsia" w:ascii="仿宋_GB2312" w:eastAsia="仿宋_GB2312"/>
          <w:sz w:val="32"/>
          <w:szCs w:val="32"/>
        </w:rPr>
        <w:t>2021年，我局政府信息公开工作取得了显著成效，</w:t>
      </w:r>
      <w:r>
        <w:rPr>
          <w:rFonts w:hint="eastAsia" w:ascii="仿宋_GB2312" w:hAnsi="仿宋_GB2312" w:eastAsia="仿宋_GB2312" w:cs="仿宋_GB2312"/>
          <w:bCs/>
          <w:sz w:val="32"/>
          <w:szCs w:val="32"/>
        </w:rPr>
        <w:t>但与市委、市政府要求、与人民群众期盼相比，还存在一些差距和不足，比如：</w:t>
      </w:r>
      <w:r>
        <w:rPr>
          <w:rFonts w:ascii="仿宋_GB2312" w:hAnsi="宋体" w:eastAsia="仿宋_GB2312" w:cs="仿宋_GB2312"/>
          <w:kern w:val="0"/>
          <w:sz w:val="31"/>
          <w:szCs w:val="31"/>
          <w:lang w:bidi="ar"/>
        </w:rPr>
        <w:t>除政务公开工作人员外，其他人员对该项工作的重视度不够，主动公开的意识不强，工作存在一定的被动性；</w:t>
      </w:r>
      <w:r>
        <w:rPr>
          <w:rFonts w:hint="eastAsia" w:ascii="华文仿宋" w:hAnsi="华文仿宋" w:eastAsia="华文仿宋" w:cs="华文仿宋"/>
          <w:kern w:val="0"/>
          <w:sz w:val="32"/>
          <w:szCs w:val="32"/>
          <w:lang w:bidi="ar"/>
        </w:rPr>
        <w:t>解读方式还不够丰富，缺乏动漫解读等</w:t>
      </w:r>
      <w:r>
        <w:rPr>
          <w:rFonts w:hint="eastAsia" w:ascii="华文仿宋" w:hAnsi="华文仿宋" w:eastAsia="华文仿宋" w:cs="华文仿宋"/>
          <w:color w:val="333333"/>
          <w:kern w:val="0"/>
          <w:sz w:val="32"/>
          <w:szCs w:val="32"/>
          <w:lang w:bidi="ar"/>
        </w:rPr>
        <w:t>群众喜闻乐见的</w:t>
      </w:r>
      <w:r>
        <w:rPr>
          <w:rFonts w:hint="eastAsia" w:ascii="华文仿宋" w:hAnsi="华文仿宋" w:eastAsia="华文仿宋" w:cs="华文仿宋"/>
          <w:kern w:val="0"/>
          <w:sz w:val="32"/>
          <w:szCs w:val="32"/>
          <w:lang w:bidi="ar"/>
        </w:rPr>
        <w:t>解读</w:t>
      </w:r>
      <w:r>
        <w:rPr>
          <w:rFonts w:hint="eastAsia" w:ascii="华文仿宋" w:hAnsi="华文仿宋" w:eastAsia="华文仿宋" w:cs="华文仿宋"/>
          <w:color w:val="333333"/>
          <w:kern w:val="0"/>
          <w:sz w:val="32"/>
          <w:szCs w:val="32"/>
          <w:lang w:bidi="ar"/>
        </w:rPr>
        <w:t>方式等。</w:t>
      </w:r>
    </w:p>
    <w:p>
      <w:pPr>
        <w:widowControl/>
        <w:ind w:firstLine="640" w:firstLineChars="200"/>
        <w:jc w:val="left"/>
      </w:pPr>
      <w:r>
        <w:rPr>
          <w:rFonts w:hint="eastAsia" w:ascii="仿宋_GB2312" w:hAnsi="微软雅黑" w:eastAsia="仿宋_GB2312"/>
          <w:sz w:val="32"/>
          <w:szCs w:val="32"/>
        </w:rPr>
        <w:t>针对以上短板、弱项，我局将做好以下工作：一是</w:t>
      </w:r>
      <w:r>
        <w:rPr>
          <w:rFonts w:hint="eastAsia" w:ascii="仿宋_GB2312" w:hAnsi="仿宋" w:eastAsia="仿宋_GB2312"/>
          <w:sz w:val="32"/>
          <w:szCs w:val="32"/>
          <w:shd w:val="clear" w:color="auto" w:fill="FFFFFF"/>
        </w:rPr>
        <w:t>加强领导，不断加大政务信息的公开力度。</w:t>
      </w:r>
      <w:r>
        <w:rPr>
          <w:rFonts w:hint="eastAsia" w:ascii="仿宋_GB2312" w:hAnsi="宋体" w:eastAsia="仿宋_GB2312" w:cs="仿宋_GB2312"/>
          <w:kern w:val="0"/>
          <w:sz w:val="31"/>
          <w:szCs w:val="31"/>
          <w:lang w:bidi="ar"/>
        </w:rPr>
        <w:t>二</w:t>
      </w:r>
      <w:r>
        <w:rPr>
          <w:rFonts w:ascii="仿宋_GB2312" w:hAnsi="宋体" w:eastAsia="仿宋_GB2312" w:cs="仿宋_GB2312"/>
          <w:kern w:val="0"/>
          <w:sz w:val="31"/>
          <w:szCs w:val="31"/>
          <w:lang w:bidi="ar"/>
        </w:rPr>
        <w:t>是加强培训力度，着力提高全体干部</w:t>
      </w:r>
      <w:r>
        <w:rPr>
          <w:rFonts w:hint="eastAsia" w:ascii="仿宋_GB2312" w:hAnsi="宋体" w:eastAsia="仿宋_GB2312" w:cs="仿宋_GB2312"/>
          <w:kern w:val="0"/>
          <w:sz w:val="31"/>
          <w:szCs w:val="31"/>
          <w:lang w:bidi="ar"/>
        </w:rPr>
        <w:t>职工</w:t>
      </w:r>
      <w:r>
        <w:rPr>
          <w:rFonts w:ascii="仿宋_GB2312" w:hAnsi="宋体" w:eastAsia="仿宋_GB2312" w:cs="仿宋_GB2312"/>
          <w:kern w:val="0"/>
          <w:sz w:val="31"/>
          <w:szCs w:val="31"/>
          <w:lang w:bidi="ar"/>
        </w:rPr>
        <w:t>主动公开的意识，提高工作主动性和积极性</w:t>
      </w:r>
      <w:r>
        <w:rPr>
          <w:rFonts w:hint="eastAsia" w:ascii="仿宋_GB2312" w:hAnsi="宋体" w:eastAsia="仿宋_GB2312" w:cs="仿宋_GB2312"/>
          <w:kern w:val="0"/>
          <w:sz w:val="31"/>
          <w:szCs w:val="31"/>
          <w:lang w:bidi="ar"/>
        </w:rPr>
        <w:t>。三</w:t>
      </w:r>
      <w:r>
        <w:rPr>
          <w:rFonts w:ascii="仿宋_GB2312" w:hAnsi="宋体" w:eastAsia="仿宋_GB2312" w:cs="仿宋_GB2312"/>
          <w:kern w:val="0"/>
          <w:sz w:val="31"/>
          <w:szCs w:val="31"/>
          <w:lang w:bidi="ar"/>
        </w:rPr>
        <w:t>是创新工作形式，</w:t>
      </w:r>
      <w:r>
        <w:rPr>
          <w:rFonts w:hint="eastAsia" w:ascii="仿宋_GB2312" w:hAnsi="宋体" w:eastAsia="仿宋_GB2312" w:cs="仿宋_GB2312"/>
          <w:kern w:val="0"/>
          <w:sz w:val="31"/>
          <w:szCs w:val="31"/>
          <w:lang w:bidi="ar"/>
        </w:rPr>
        <w:t>丰富</w:t>
      </w:r>
      <w:r>
        <w:rPr>
          <w:rFonts w:ascii="仿宋_GB2312" w:hAnsi="宋体" w:eastAsia="仿宋_GB2312" w:cs="仿宋_GB2312"/>
          <w:kern w:val="0"/>
          <w:sz w:val="31"/>
          <w:szCs w:val="31"/>
          <w:lang w:bidi="ar"/>
        </w:rPr>
        <w:t>新型解读方式，对文件等进行</w:t>
      </w:r>
      <w:r>
        <w:rPr>
          <w:rFonts w:hint="eastAsia" w:ascii="仿宋_GB2312" w:hAnsi="宋体" w:eastAsia="仿宋_GB2312" w:cs="仿宋_GB2312"/>
          <w:kern w:val="0"/>
          <w:sz w:val="31"/>
          <w:szCs w:val="31"/>
          <w:lang w:bidi="ar"/>
        </w:rPr>
        <w:t>多种方式</w:t>
      </w:r>
      <w:r>
        <w:rPr>
          <w:rFonts w:ascii="仿宋_GB2312" w:hAnsi="宋体" w:eastAsia="仿宋_GB2312" w:cs="仿宋_GB2312"/>
          <w:kern w:val="0"/>
          <w:sz w:val="31"/>
          <w:szCs w:val="31"/>
          <w:lang w:bidi="ar"/>
        </w:rPr>
        <w:t>解读。</w:t>
      </w:r>
    </w:p>
    <w:p>
      <w:pPr>
        <w:numPr>
          <w:ilvl w:val="0"/>
          <w:numId w:val="1"/>
        </w:numPr>
        <w:ind w:firstLine="640" w:firstLineChars="200"/>
        <w:rPr>
          <w:rFonts w:ascii="黑体" w:hAnsi="黑体" w:eastAsia="黑体" w:cs="宋体"/>
          <w:sz w:val="32"/>
          <w:szCs w:val="32"/>
          <w:shd w:val="clear" w:color="auto" w:fill="FFFFFF"/>
        </w:rPr>
      </w:pPr>
      <w:r>
        <w:rPr>
          <w:rFonts w:hint="eastAsia" w:ascii="黑体" w:hAnsi="黑体" w:eastAsia="黑体" w:cs="宋体"/>
          <w:sz w:val="32"/>
          <w:szCs w:val="32"/>
          <w:shd w:val="clear" w:color="auto" w:fill="FFFFFF"/>
        </w:rPr>
        <w:t>其他需要报告的事项</w:t>
      </w:r>
    </w:p>
    <w:p>
      <w:pPr>
        <w:ind w:firstLine="620" w:firstLineChars="200"/>
        <w:rPr>
          <w:rFonts w:ascii="华文仿宋" w:hAnsi="华文仿宋" w:eastAsia="华文仿宋" w:cs="华文仿宋"/>
          <w:kern w:val="0"/>
          <w:sz w:val="32"/>
          <w:szCs w:val="32"/>
          <w:shd w:val="clear" w:color="auto" w:fill="FFFFFF"/>
          <w:lang w:bidi="ar"/>
        </w:rPr>
      </w:pPr>
      <w:r>
        <w:rPr>
          <w:rFonts w:hint="eastAsia" w:ascii="仿宋_GB2312" w:hAnsi="宋体" w:eastAsia="仿宋_GB2312" w:cs="仿宋_GB2312"/>
          <w:kern w:val="0"/>
          <w:sz w:val="31"/>
          <w:szCs w:val="31"/>
          <w:lang w:bidi="ar"/>
        </w:rPr>
        <w:t>（一）</w:t>
      </w:r>
      <w:r>
        <w:rPr>
          <w:rFonts w:ascii="仿宋_GB2312" w:hAnsi="宋体" w:eastAsia="仿宋_GB2312" w:cs="仿宋_GB2312"/>
          <w:kern w:val="0"/>
          <w:sz w:val="31"/>
          <w:szCs w:val="31"/>
          <w:lang w:bidi="ar"/>
        </w:rPr>
        <w:t>2021年，依据《政府信息公开信息处理费管理办法》</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我局</w:t>
      </w:r>
      <w:r>
        <w:rPr>
          <w:rFonts w:ascii="华文仿宋" w:hAnsi="华文仿宋" w:eastAsia="华文仿宋" w:cs="华文仿宋"/>
          <w:kern w:val="0"/>
          <w:sz w:val="32"/>
          <w:szCs w:val="32"/>
          <w:shd w:val="clear" w:color="auto" w:fill="FFFFFF"/>
          <w:lang w:bidi="ar"/>
        </w:rPr>
        <w:t>没有收取信息处理费的情况</w:t>
      </w:r>
      <w:r>
        <w:rPr>
          <w:rFonts w:hint="eastAsia" w:ascii="华文仿宋" w:hAnsi="华文仿宋" w:eastAsia="华文仿宋" w:cs="华文仿宋"/>
          <w:kern w:val="0"/>
          <w:sz w:val="32"/>
          <w:szCs w:val="32"/>
          <w:shd w:val="clear" w:color="auto" w:fill="FFFFFF"/>
          <w:lang w:bidi="ar"/>
        </w:rPr>
        <w:t>。</w:t>
      </w:r>
    </w:p>
    <w:p>
      <w:pPr>
        <w:widowControl/>
        <w:ind w:firstLine="640" w:firstLineChars="200"/>
        <w:jc w:val="left"/>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（二）2021年，我局根据聊城市政务公开工作要点，制定了《聊城市机关事务管理局2021年度政务公开实施方案》，顺利完成了政务公开各项工作。</w:t>
      </w:r>
    </w:p>
    <w:p>
      <w:pPr>
        <w:widowControl/>
        <w:ind w:firstLine="640" w:firstLineChars="200"/>
        <w:jc w:val="left"/>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三）政务公开工作创新情况：借助传统主流媒体社会影响力，在聊城交通广播播放塑料污染宣传、生活垃圾分类宣传内容和聊城市公共机构节约能源资源“十四五”规划；根据工作安排，开展“垃圾分类进校园”巡展、公共机构节能巡展等政府开放日活动；出台公务接待6项制度，被人民周刊网等媒体报道推广；12月31日，召开新闻发布会，介绍聊城市国内公务接待高质量发展工作情况，增进公众对机关事务工作工作的了解、支持和认同。</w:t>
      </w:r>
    </w:p>
    <w:p>
      <w:pPr>
        <w:ind w:firstLine="640" w:firstLineChars="200"/>
        <w:rPr>
          <w:rFonts w:ascii="华文仿宋" w:hAnsi="华文仿宋" w:eastAsia="华文仿宋" w:cs="华文仿宋"/>
          <w:sz w:val="32"/>
          <w:szCs w:val="32"/>
          <w:shd w:val="clear" w:color="auto" w:fill="FFFFFF"/>
        </w:rPr>
      </w:pPr>
      <w:r>
        <w:rPr>
          <w:rFonts w:hint="eastAsia" w:ascii="华文仿宋" w:hAnsi="华文仿宋" w:eastAsia="华文仿宋" w:cs="华文仿宋"/>
          <w:sz w:val="32"/>
          <w:szCs w:val="32"/>
        </w:rPr>
        <w:t>（四）2021年度，我局</w:t>
      </w:r>
      <w:r>
        <w:rPr>
          <w:rFonts w:hint="eastAsia" w:ascii="华文仿宋" w:hAnsi="华文仿宋" w:eastAsia="华文仿宋" w:cs="华文仿宋"/>
          <w:kern w:val="0"/>
          <w:sz w:val="32"/>
          <w:szCs w:val="32"/>
          <w:shd w:val="clear" w:color="auto" w:fill="FFFFFF"/>
          <w:lang w:bidi="ar"/>
        </w:rPr>
        <w:t>未收到人大代表建议，</w:t>
      </w:r>
      <w:r>
        <w:rPr>
          <w:rFonts w:hint="eastAsia" w:ascii="华文仿宋" w:hAnsi="华文仿宋" w:eastAsia="华文仿宋" w:cs="华文仿宋"/>
          <w:sz w:val="32"/>
          <w:szCs w:val="32"/>
        </w:rPr>
        <w:t>共承办政协提案3件，其中主办件2件，协办件1件</w:t>
      </w:r>
      <w:r>
        <w:rPr>
          <w:rFonts w:hint="eastAsia" w:ascii="华文仿宋" w:hAnsi="华文仿宋" w:eastAsia="华文仿宋" w:cs="华文仿宋"/>
          <w:kern w:val="0"/>
          <w:sz w:val="32"/>
          <w:szCs w:val="32"/>
          <w:shd w:val="clear" w:color="auto" w:fill="FFFFFF"/>
          <w:lang w:bidi="ar"/>
        </w:rPr>
        <w:t>。</w:t>
      </w:r>
      <w:r>
        <w:rPr>
          <w:rFonts w:hint="eastAsia" w:ascii="华文仿宋" w:hAnsi="华文仿宋" w:eastAsia="华文仿宋" w:cs="华文仿宋"/>
          <w:sz w:val="32"/>
          <w:szCs w:val="32"/>
        </w:rPr>
        <w:t>办理过程中，积极主动与各委员、各相关单位采取电话沟通、当面征求意见等形式，认真听取委员意见建议，确保按时办结率、提案办理结果提案者满意率均为100%，真正做到一案一答复，件件有回声。</w:t>
      </w:r>
    </w:p>
    <w:p>
      <w:pPr>
        <w:widowControl/>
        <w:ind w:firstLine="640" w:firstLineChars="200"/>
        <w:jc w:val="left"/>
        <w:rPr>
          <w:rFonts w:ascii="华文仿宋" w:hAnsi="华文仿宋" w:eastAsia="华文仿宋" w:cs="华文仿宋"/>
          <w:sz w:val="32"/>
          <w:szCs w:val="32"/>
        </w:rPr>
      </w:pPr>
      <w:r>
        <w:rPr>
          <w:rFonts w:hint="eastAsia" w:ascii="华文仿宋" w:hAnsi="华文仿宋" w:eastAsia="华文仿宋" w:cs="华文仿宋"/>
          <w:kern w:val="0"/>
          <w:sz w:val="32"/>
          <w:szCs w:val="32"/>
          <w:shd w:val="clear" w:color="auto" w:fill="FFFFFF"/>
          <w:lang w:bidi="ar"/>
        </w:rPr>
        <w:t>（五）无年度报告数据统计需要说明的事项。</w:t>
      </w:r>
    </w:p>
    <w:p>
      <w:pPr>
        <w:ind w:firstLine="640" w:firstLineChars="200"/>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（六）无本机关认为需要报告的其他事项。</w:t>
      </w:r>
    </w:p>
    <w:p>
      <w:pPr>
        <w:ind w:firstLine="640" w:firstLineChars="200"/>
        <w:rPr>
          <w:rFonts w:ascii="华文仿宋" w:hAnsi="华文仿宋" w:eastAsia="华文仿宋" w:cs="华文仿宋"/>
          <w:sz w:val="32"/>
          <w:szCs w:val="32"/>
          <w:shd w:val="clear" w:color="auto" w:fill="FFFFFF"/>
        </w:rPr>
      </w:pPr>
      <w:r>
        <w:rPr>
          <w:rFonts w:hint="eastAsia" w:ascii="华文仿宋" w:hAnsi="华文仿宋" w:eastAsia="华文仿宋" w:cs="华文仿宋"/>
          <w:kern w:val="0"/>
          <w:sz w:val="32"/>
          <w:szCs w:val="32"/>
          <w:shd w:val="clear" w:color="auto" w:fill="FFFFFF"/>
          <w:lang w:bidi="ar"/>
        </w:rPr>
        <w:t>（七）无其他有关文件专门要求通过政府信息公开工作年度报告予以报告的事项。</w:t>
      </w:r>
    </w:p>
    <w:p>
      <w:pPr>
        <w:spacing w:line="560" w:lineRule="exact"/>
        <w:ind w:firstLine="640" w:firstLineChars="200"/>
        <w:rPr>
          <w:rFonts w:ascii="仿宋_GB2312" w:hAnsi="黑体" w:eastAsia="仿宋_GB2312" w:cs="宋体"/>
          <w:sz w:val="32"/>
          <w:szCs w:val="32"/>
          <w:shd w:val="clear" w:color="auto" w:fill="FFFFFF"/>
        </w:rPr>
      </w:pPr>
    </w:p>
    <w:p>
      <w:pPr>
        <w:spacing w:line="560" w:lineRule="exact"/>
        <w:ind w:firstLine="640" w:firstLineChars="200"/>
        <w:rPr>
          <w:rFonts w:ascii="仿宋_GB2312" w:hAnsi="黑体" w:eastAsia="仿宋_GB2312" w:cs="宋体"/>
          <w:sz w:val="32"/>
          <w:szCs w:val="32"/>
          <w:shd w:val="clear" w:color="auto" w:fill="FFFFFF"/>
        </w:rPr>
      </w:pPr>
    </w:p>
    <w:p>
      <w:pPr>
        <w:spacing w:line="560" w:lineRule="exact"/>
        <w:ind w:firstLine="640" w:firstLineChars="200"/>
        <w:rPr>
          <w:rFonts w:ascii="仿宋_GB2312" w:hAnsi="黑体" w:eastAsia="仿宋_GB2312" w:cs="宋体"/>
          <w:sz w:val="32"/>
          <w:szCs w:val="32"/>
          <w:shd w:val="clear" w:color="auto" w:fill="FFFFFF"/>
        </w:rPr>
      </w:pPr>
    </w:p>
    <w:p>
      <w:pPr>
        <w:spacing w:line="560" w:lineRule="exact"/>
        <w:ind w:firstLine="640" w:firstLineChars="200"/>
        <w:rPr>
          <w:rFonts w:ascii="仿宋_GB2312" w:eastAsia="仿宋_GB2312"/>
        </w:rPr>
      </w:pPr>
      <w:r>
        <w:rPr>
          <w:rFonts w:hint="eastAsia" w:ascii="仿宋_GB2312" w:hAnsi="黑体" w:eastAsia="仿宋_GB2312" w:cs="宋体"/>
          <w:sz w:val="32"/>
          <w:szCs w:val="32"/>
          <w:shd w:val="clear" w:color="auto" w:fill="FFFFFF"/>
        </w:rPr>
        <w:t xml:space="preserve">                          </w:t>
      </w:r>
    </w:p>
    <w:p>
      <w:pPr>
        <w:spacing w:line="560" w:lineRule="exact"/>
        <w:ind w:firstLine="420" w:firstLineChars="200"/>
        <w:rPr>
          <w:rFonts w:ascii="华文仿宋" w:hAnsi="华文仿宋" w:eastAsia="华文仿宋" w:cs="华文仿宋"/>
          <w:sz w:val="32"/>
          <w:szCs w:val="32"/>
        </w:rPr>
      </w:pPr>
      <w:r>
        <w:rPr>
          <w:rFonts w:hint="eastAsia" w:ascii="仿宋_GB2312" w:eastAsia="仿宋_GB2312"/>
        </w:rPr>
        <w:t xml:space="preserve">                              </w:t>
      </w:r>
      <w:r>
        <w:rPr>
          <w:rFonts w:hint="eastAsia" w:ascii="华文仿宋" w:hAnsi="华文仿宋" w:eastAsia="华文仿宋" w:cs="华文仿宋"/>
          <w:sz w:val="32"/>
          <w:szCs w:val="32"/>
        </w:rPr>
        <w:t xml:space="preserve">  聊城市机关事务管理局</w:t>
      </w:r>
    </w:p>
    <w:p>
      <w:pPr>
        <w:pStyle w:val="2"/>
        <w:rPr>
          <w:lang w:eastAsia="zh-CN"/>
        </w:rPr>
      </w:pPr>
      <w:r>
        <w:rPr>
          <w:rFonts w:hint="eastAsia" w:ascii="华文仿宋" w:hAnsi="华文仿宋" w:eastAsia="华文仿宋" w:cs="华文仿宋"/>
          <w:lang w:eastAsia="zh-CN"/>
        </w:rPr>
        <w:t xml:space="preserve">                            2022年1月24日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仿宋_GB2312">
    <w:altName w:val="方正仿宋_GBK"/>
    <w:panose1 w:val="020B0602010101010101"/>
    <w:charset w:val="86"/>
    <w:family w:val="modern"/>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CESI楷体-GB2312">
    <w:panose1 w:val="02000500000000000000"/>
    <w:charset w:val="86"/>
    <w:family w:val="auto"/>
    <w:pitch w:val="default"/>
    <w:sig w:usb0="800002BF" w:usb1="184F6CF8" w:usb2="00000012" w:usb3="00000000" w:csb0="0004000F" w:csb1="00000000"/>
  </w:font>
  <w:font w:name="CESI仿宋-GB2312">
    <w:panose1 w:val="02000500000000000000"/>
    <w:charset w:val="86"/>
    <w:family w:val="auto"/>
    <w:pitch w:val="default"/>
    <w:sig w:usb0="800002AF" w:usb1="084F6CF8" w:usb2="00000010"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汉仪中宋简">
    <w:panose1 w:val="02010600000101010101"/>
    <w:charset w:val="86"/>
    <w:family w:val="auto"/>
    <w:pitch w:val="default"/>
    <w:sig w:usb0="00000001" w:usb1="080E0800" w:usb2="00000002" w:usb3="00000000" w:csb0="00040000" w:csb1="00000000"/>
  </w:font>
  <w:font w:name="方正楷体_GBK">
    <w:panose1 w:val="02000000000000000000"/>
    <w:charset w:val="86"/>
    <w:family w:val="auto"/>
    <w:pitch w:val="default"/>
    <w:sig w:usb0="00000001" w:usb1="08000000" w:usb2="00000000" w:usb3="00000000" w:csb0="00040000" w:csb1="00000000"/>
  </w:font>
  <w:font w:name="sans-serif">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8420" cy="139700"/>
              <wp:effectExtent l="0" t="0" r="0" b="0"/>
              <wp:wrapNone/>
              <wp:docPr id="5" name="文本框 1"/>
              <wp:cNvGraphicFramePr/>
              <a:graphic xmlns:a="http://schemas.openxmlformats.org/drawingml/2006/main">
                <a:graphicData uri="http://schemas.microsoft.com/office/word/2010/wordprocessingShape">
                  <wps:wsp>
                    <wps:cNvSpPr txBox="true"/>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1" o:spid="_x0000_s1026" o:spt="202" type="#_x0000_t202" style="position:absolute;left:0pt;margin-top:0pt;height:11pt;width:4.6pt;mso-position-horizontal:center;mso-position-horizontal-relative:margin;mso-wrap-style:none;z-index:251658240;mso-width-relative:page;mso-height-relative:page;" filled="f" stroked="f" coordsize="21600,21600" o:gfxdata="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vbGRr0QAAAAIBAAAPAAAAAAAAAAEAIAAAADgAAABkcnMvZG93bnJldi54bWxQSwECFAAUAAAA&#10;CACHTuJASPDvvBgCAAAWBAAADgAAAAAAAAABACAAAAA2AQAAZHJzL2Uyb0RvYy54bWxQSwUGAAAA&#10;AAYABgBZAQAAwAU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F789C6"/>
    <w:multiLevelType w:val="singleLevel"/>
    <w:tmpl w:val="6FF789C6"/>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4105D4"/>
    <w:rsid w:val="0002157A"/>
    <w:rsid w:val="00042301"/>
    <w:rsid w:val="000501BE"/>
    <w:rsid w:val="00051F76"/>
    <w:rsid w:val="00061856"/>
    <w:rsid w:val="00066EB7"/>
    <w:rsid w:val="000C0AFA"/>
    <w:rsid w:val="000D1159"/>
    <w:rsid w:val="001646CF"/>
    <w:rsid w:val="002422DF"/>
    <w:rsid w:val="002662AA"/>
    <w:rsid w:val="00276D58"/>
    <w:rsid w:val="002902CC"/>
    <w:rsid w:val="002A7D8B"/>
    <w:rsid w:val="002C5B52"/>
    <w:rsid w:val="0030295B"/>
    <w:rsid w:val="00384DF1"/>
    <w:rsid w:val="00387F2D"/>
    <w:rsid w:val="003917CF"/>
    <w:rsid w:val="003B2484"/>
    <w:rsid w:val="003C0ED3"/>
    <w:rsid w:val="003C1E1B"/>
    <w:rsid w:val="003F39D5"/>
    <w:rsid w:val="003F475E"/>
    <w:rsid w:val="003F57E8"/>
    <w:rsid w:val="00432572"/>
    <w:rsid w:val="0043443E"/>
    <w:rsid w:val="00435E7A"/>
    <w:rsid w:val="00443157"/>
    <w:rsid w:val="00444201"/>
    <w:rsid w:val="00472855"/>
    <w:rsid w:val="0047325A"/>
    <w:rsid w:val="00476ACF"/>
    <w:rsid w:val="004B449C"/>
    <w:rsid w:val="00511F39"/>
    <w:rsid w:val="0055658D"/>
    <w:rsid w:val="0058424A"/>
    <w:rsid w:val="005A7660"/>
    <w:rsid w:val="005F1F9F"/>
    <w:rsid w:val="00616F3A"/>
    <w:rsid w:val="006E43A9"/>
    <w:rsid w:val="00715005"/>
    <w:rsid w:val="00716584"/>
    <w:rsid w:val="00716C3A"/>
    <w:rsid w:val="007A7EAD"/>
    <w:rsid w:val="008412F2"/>
    <w:rsid w:val="008B486D"/>
    <w:rsid w:val="008C3867"/>
    <w:rsid w:val="00901FD7"/>
    <w:rsid w:val="00944F33"/>
    <w:rsid w:val="00974CDD"/>
    <w:rsid w:val="009844C0"/>
    <w:rsid w:val="009952EB"/>
    <w:rsid w:val="009B535F"/>
    <w:rsid w:val="009E092D"/>
    <w:rsid w:val="00A02223"/>
    <w:rsid w:val="00A3306D"/>
    <w:rsid w:val="00A359EC"/>
    <w:rsid w:val="00A9164D"/>
    <w:rsid w:val="00AB0C38"/>
    <w:rsid w:val="00AB1370"/>
    <w:rsid w:val="00AD3CA8"/>
    <w:rsid w:val="00AE3AEE"/>
    <w:rsid w:val="00B121CD"/>
    <w:rsid w:val="00B228B8"/>
    <w:rsid w:val="00B4742B"/>
    <w:rsid w:val="00B77D55"/>
    <w:rsid w:val="00BA0D72"/>
    <w:rsid w:val="00BE20EE"/>
    <w:rsid w:val="00C14DA1"/>
    <w:rsid w:val="00C158AD"/>
    <w:rsid w:val="00C232F2"/>
    <w:rsid w:val="00C26EFC"/>
    <w:rsid w:val="00C35723"/>
    <w:rsid w:val="00C57E57"/>
    <w:rsid w:val="00C7546D"/>
    <w:rsid w:val="00CF604D"/>
    <w:rsid w:val="00D13CC7"/>
    <w:rsid w:val="00D56A73"/>
    <w:rsid w:val="00D71E14"/>
    <w:rsid w:val="00D748F2"/>
    <w:rsid w:val="00D76A27"/>
    <w:rsid w:val="00DD2671"/>
    <w:rsid w:val="00E07C8F"/>
    <w:rsid w:val="00E33FED"/>
    <w:rsid w:val="00E35ACE"/>
    <w:rsid w:val="00E477D2"/>
    <w:rsid w:val="00E80868"/>
    <w:rsid w:val="00EB5B9E"/>
    <w:rsid w:val="00ED49E1"/>
    <w:rsid w:val="00ED71ED"/>
    <w:rsid w:val="00EF6539"/>
    <w:rsid w:val="00FD60D9"/>
    <w:rsid w:val="03FD0D32"/>
    <w:rsid w:val="13FCB6EB"/>
    <w:rsid w:val="19EEE1E7"/>
    <w:rsid w:val="1DDF1339"/>
    <w:rsid w:val="1F7F206F"/>
    <w:rsid w:val="23FB7B3C"/>
    <w:rsid w:val="2B9EC8E2"/>
    <w:rsid w:val="2E223195"/>
    <w:rsid w:val="2EED25D2"/>
    <w:rsid w:val="30BF0BFB"/>
    <w:rsid w:val="37464714"/>
    <w:rsid w:val="39DC6671"/>
    <w:rsid w:val="3F76AA7F"/>
    <w:rsid w:val="3FEB9EB0"/>
    <w:rsid w:val="3FFB3032"/>
    <w:rsid w:val="40066E40"/>
    <w:rsid w:val="4B24395B"/>
    <w:rsid w:val="4B7F6C11"/>
    <w:rsid w:val="4F57ED00"/>
    <w:rsid w:val="4FFB3C7C"/>
    <w:rsid w:val="5573B9B6"/>
    <w:rsid w:val="56015F00"/>
    <w:rsid w:val="5AF7DC83"/>
    <w:rsid w:val="5D96EB67"/>
    <w:rsid w:val="5D9D2D7B"/>
    <w:rsid w:val="5DCF5CA9"/>
    <w:rsid w:val="5DFA3097"/>
    <w:rsid w:val="5DFAEACA"/>
    <w:rsid w:val="63F4C0D9"/>
    <w:rsid w:val="65F50CFB"/>
    <w:rsid w:val="6DC61070"/>
    <w:rsid w:val="6EE72BC1"/>
    <w:rsid w:val="6EFDD669"/>
    <w:rsid w:val="6FDEC1BC"/>
    <w:rsid w:val="72DE0FDB"/>
    <w:rsid w:val="7997DA6B"/>
    <w:rsid w:val="7A998198"/>
    <w:rsid w:val="7AFC6EC4"/>
    <w:rsid w:val="7B4105D4"/>
    <w:rsid w:val="7BEFBF65"/>
    <w:rsid w:val="7D66AE02"/>
    <w:rsid w:val="7DE11B01"/>
    <w:rsid w:val="7DFFE384"/>
    <w:rsid w:val="7F371EDD"/>
    <w:rsid w:val="7F4FCC3E"/>
    <w:rsid w:val="7F9E0CA0"/>
    <w:rsid w:val="7FEFA691"/>
    <w:rsid w:val="84FD1D0A"/>
    <w:rsid w:val="87ABF1EA"/>
    <w:rsid w:val="96A97898"/>
    <w:rsid w:val="9F7368FC"/>
    <w:rsid w:val="AAFF8F7D"/>
    <w:rsid w:val="AFFF0DCE"/>
    <w:rsid w:val="B1FF9FF9"/>
    <w:rsid w:val="BABBBA11"/>
    <w:rsid w:val="BB77AEB4"/>
    <w:rsid w:val="BD173626"/>
    <w:rsid w:val="BDBFB967"/>
    <w:rsid w:val="BDFD45DA"/>
    <w:rsid w:val="BF722302"/>
    <w:rsid w:val="BFBB2028"/>
    <w:rsid w:val="BFDF1A93"/>
    <w:rsid w:val="BFFF876E"/>
    <w:rsid w:val="CDF7A448"/>
    <w:rsid w:val="CF0EB878"/>
    <w:rsid w:val="CF3F7481"/>
    <w:rsid w:val="D7ECE49E"/>
    <w:rsid w:val="DF9FB727"/>
    <w:rsid w:val="DFDF3C0F"/>
    <w:rsid w:val="DFEF189A"/>
    <w:rsid w:val="E73D47A2"/>
    <w:rsid w:val="EBD71EEB"/>
    <w:rsid w:val="EC3FBC85"/>
    <w:rsid w:val="F3E72317"/>
    <w:rsid w:val="F3FEFB62"/>
    <w:rsid w:val="F47D837C"/>
    <w:rsid w:val="F6F405DC"/>
    <w:rsid w:val="F7CF1872"/>
    <w:rsid w:val="F7F94FDB"/>
    <w:rsid w:val="F97482B5"/>
    <w:rsid w:val="F9FFF46F"/>
    <w:rsid w:val="FC7B590F"/>
    <w:rsid w:val="FE75A468"/>
    <w:rsid w:val="FEA55EE4"/>
    <w:rsid w:val="FF18D58F"/>
    <w:rsid w:val="FFF71FBE"/>
    <w:rsid w:val="FFF91E62"/>
    <w:rsid w:val="FFFD7B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link w:val="11"/>
    <w:qFormat/>
    <w:uiPriority w:val="9"/>
    <w:pPr>
      <w:widowControl/>
      <w:spacing w:before="100" w:beforeAutospacing="1" w:after="100" w:afterAutospacing="1"/>
      <w:jc w:val="left"/>
      <w:outlineLvl w:val="3"/>
    </w:pPr>
    <w:rPr>
      <w:rFonts w:ascii="宋体" w:hAnsi="宋体" w:eastAsia="宋体" w:cs="宋体"/>
      <w:b/>
      <w:bCs/>
      <w:kern w:val="0"/>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pPr>
      <w:autoSpaceDE w:val="0"/>
      <w:autoSpaceDN w:val="0"/>
      <w:jc w:val="left"/>
    </w:pPr>
    <w:rPr>
      <w:rFonts w:ascii="宋体" w:hAnsi="宋体" w:eastAsia="宋体" w:cs="宋体"/>
      <w:kern w:val="0"/>
      <w:sz w:val="32"/>
      <w:szCs w:val="32"/>
      <w:lang w:eastAsia="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semiHidden/>
    <w:unhideWhenUsed/>
    <w:qFormat/>
    <w:uiPriority w:val="0"/>
    <w:rPr>
      <w:color w:val="0000FF"/>
      <w:u w:val="single"/>
    </w:rPr>
  </w:style>
  <w:style w:type="character" w:customStyle="1" w:styleId="11">
    <w:name w:val="标题 4 字符"/>
    <w:basedOn w:val="8"/>
    <w:link w:val="3"/>
    <w:qFormat/>
    <w:uiPriority w:val="9"/>
    <w:rPr>
      <w:rFonts w:ascii="宋体" w:hAnsi="宋体" w:cs="宋体"/>
      <w:b/>
      <w:bCs/>
      <w:sz w:val="24"/>
      <w:szCs w:val="24"/>
    </w:rPr>
  </w:style>
  <w:style w:type="character" w:customStyle="1" w:styleId="12">
    <w:name w:val="正文文本 字符"/>
    <w:basedOn w:val="8"/>
    <w:link w:val="2"/>
    <w:qFormat/>
    <w:uiPriority w:val="1"/>
    <w:rPr>
      <w:rFonts w:ascii="宋体" w:hAnsi="宋体" w:cs="宋体"/>
      <w:sz w:val="32"/>
      <w:szCs w:val="32"/>
      <w:lang w:eastAsia="en-US"/>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3307</Words>
  <Characters>3454</Characters>
  <Lines>27</Lines>
  <Paragraphs>7</Paragraphs>
  <TotalTime>39</TotalTime>
  <ScaleCrop>false</ScaleCrop>
  <LinksUpToDate>false</LinksUpToDate>
  <CharactersWithSpaces>3569</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2022-01-27T03:15:00Z</dcterms:created>
  <dc:creator>January</dc:creator>
  <cp:lastModifiedBy>user</cp:lastModifiedBy>
  <cp:lastPrinted>2022-01-26T23:53:00Z</cp:lastPrinted>
  <dcterms:modified xsi:type="dcterms:W3CDTF">2022-07-08T11:10:58Z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